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r>
        <w:rPr>
          <w:rFonts w:hint="eastAsia" w:ascii="黑体" w:hAnsi="黑体" w:eastAsia="黑体" w:cs="黑体"/>
          <w:sz w:val="52"/>
          <w:szCs w:val="52"/>
        </w:rPr>
        <w:t>工矿行业危险化学品使用安全指导手册</w:t>
      </w:r>
    </w:p>
    <w:p>
      <w:pPr>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w:t>
      </w:r>
      <w:r>
        <w:rPr>
          <w:rFonts w:hint="eastAsia" w:ascii="黑体" w:hAnsi="黑体" w:eastAsia="黑体" w:cs="黑体"/>
          <w:sz w:val="52"/>
          <w:szCs w:val="52"/>
          <w:lang w:val="en-US" w:eastAsia="zh-CN"/>
        </w:rPr>
        <w:t>试行</w:t>
      </w:r>
      <w:r>
        <w:rPr>
          <w:rFonts w:hint="eastAsia" w:ascii="黑体" w:hAnsi="黑体" w:eastAsia="黑体" w:cs="黑体"/>
          <w:sz w:val="52"/>
          <w:szCs w:val="52"/>
          <w:lang w:eastAsia="zh-CN"/>
        </w:rPr>
        <w:t>）</w:t>
      </w:r>
    </w:p>
    <w:p>
      <w:pPr>
        <w:snapToGrid w:val="0"/>
        <w:spacing w:before="187" w:after="187"/>
        <w:jc w:val="center"/>
        <w:rPr>
          <w:rFonts w:ascii="宋体" w:hAnsi="宋体" w:eastAsia="宋体"/>
          <w:b/>
          <w:bCs/>
          <w:sz w:val="44"/>
          <w:szCs w:val="44"/>
        </w:rPr>
      </w:pPr>
    </w:p>
    <w:p>
      <w:pPr>
        <w:snapToGrid w:val="0"/>
        <w:spacing w:before="187" w:after="187"/>
        <w:jc w:val="center"/>
        <w:rPr>
          <w:rFonts w:ascii="宋体" w:hAnsi="宋体" w:eastAsia="宋体"/>
          <w:b/>
          <w:bCs/>
          <w:sz w:val="44"/>
          <w:szCs w:val="44"/>
        </w:rPr>
      </w:pPr>
    </w:p>
    <w:p>
      <w:pPr>
        <w:snapToGrid w:val="0"/>
        <w:spacing w:before="187" w:after="187"/>
        <w:jc w:val="center"/>
        <w:rPr>
          <w:rFonts w:ascii="宋体" w:hAnsi="宋体" w:eastAsia="宋体"/>
          <w:b/>
          <w:bCs/>
          <w:sz w:val="44"/>
          <w:szCs w:val="44"/>
        </w:rPr>
      </w:pPr>
    </w:p>
    <w:p>
      <w:pPr>
        <w:snapToGrid w:val="0"/>
        <w:spacing w:before="187" w:after="187"/>
        <w:jc w:val="center"/>
        <w:rPr>
          <w:rFonts w:ascii="宋体" w:hAnsi="宋体" w:eastAsia="宋体"/>
          <w:b/>
          <w:bCs/>
          <w:sz w:val="44"/>
          <w:szCs w:val="44"/>
        </w:rPr>
      </w:pPr>
    </w:p>
    <w:p>
      <w:pPr>
        <w:snapToGrid w:val="0"/>
        <w:spacing w:before="187" w:after="187"/>
        <w:jc w:val="center"/>
        <w:rPr>
          <w:rFonts w:ascii="宋体" w:hAnsi="宋体" w:eastAsia="宋体"/>
          <w:b/>
          <w:bCs/>
          <w:sz w:val="44"/>
          <w:szCs w:val="44"/>
        </w:rPr>
      </w:pPr>
    </w:p>
    <w:p>
      <w:pPr>
        <w:snapToGrid w:val="0"/>
        <w:spacing w:before="187" w:after="187"/>
        <w:jc w:val="center"/>
        <w:rPr>
          <w:rFonts w:ascii="宋体" w:hAnsi="宋体" w:eastAsia="宋体"/>
          <w:b/>
          <w:bCs/>
          <w:sz w:val="44"/>
          <w:szCs w:val="44"/>
        </w:rPr>
      </w:pPr>
    </w:p>
    <w:p>
      <w:pPr>
        <w:snapToGrid w:val="0"/>
        <w:spacing w:before="187" w:after="187"/>
        <w:jc w:val="center"/>
        <w:rPr>
          <w:rFonts w:ascii="宋体" w:hAnsi="宋体" w:eastAsia="宋体"/>
          <w:b/>
          <w:bCs/>
          <w:sz w:val="44"/>
          <w:szCs w:val="44"/>
        </w:rPr>
      </w:pPr>
    </w:p>
    <w:p>
      <w:pPr>
        <w:snapToGrid w:val="0"/>
        <w:spacing w:before="187" w:after="187"/>
        <w:jc w:val="center"/>
        <w:rPr>
          <w:rFonts w:ascii="宋体" w:hAnsi="宋体" w:eastAsia="宋体"/>
          <w:b/>
          <w:bCs/>
          <w:sz w:val="44"/>
          <w:szCs w:val="44"/>
        </w:rPr>
      </w:pPr>
    </w:p>
    <w:p>
      <w:pPr>
        <w:snapToGrid w:val="0"/>
        <w:spacing w:before="187" w:after="187"/>
        <w:jc w:val="center"/>
        <w:rPr>
          <w:rFonts w:ascii="宋体" w:hAnsi="宋体" w:eastAsia="宋体"/>
          <w:b/>
          <w:bCs/>
          <w:sz w:val="44"/>
          <w:szCs w:val="44"/>
        </w:rPr>
      </w:pPr>
    </w:p>
    <w:p>
      <w:pPr>
        <w:snapToGrid w:val="0"/>
        <w:spacing w:before="187" w:after="187"/>
        <w:jc w:val="center"/>
        <w:rPr>
          <w:rFonts w:ascii="宋体" w:hAnsi="宋体" w:eastAsia="宋体"/>
          <w:b/>
          <w:bCs/>
          <w:sz w:val="44"/>
          <w:szCs w:val="44"/>
        </w:rPr>
      </w:pPr>
    </w:p>
    <w:p>
      <w:pPr>
        <w:snapToGrid w:val="0"/>
        <w:spacing w:before="187" w:after="187"/>
        <w:jc w:val="both"/>
        <w:rPr>
          <w:rFonts w:ascii="宋体" w:hAnsi="宋体" w:eastAsia="宋体"/>
          <w:b/>
          <w:bCs/>
          <w:sz w:val="44"/>
          <w:szCs w:val="44"/>
        </w:rPr>
      </w:pPr>
    </w:p>
    <w:p>
      <w:pPr>
        <w:snapToGrid w:val="0"/>
        <w:spacing w:before="187" w:after="187"/>
        <w:jc w:val="center"/>
        <w:rPr>
          <w:rFonts w:ascii="宋体" w:hAnsi="宋体" w:eastAsia="宋体"/>
          <w:b/>
          <w:bCs/>
          <w:sz w:val="44"/>
          <w:szCs w:val="44"/>
        </w:rPr>
      </w:pPr>
    </w:p>
    <w:p>
      <w:pPr>
        <w:pStyle w:val="28"/>
        <w:ind w:firstLine="0" w:firstLineChars="0"/>
        <w:jc w:val="center"/>
        <w:rPr>
          <w:rFonts w:ascii="Times New Roman" w:hAnsi="Times New Roman" w:eastAsia="仿宋" w:cs="Times New Roman"/>
          <w:sz w:val="32"/>
          <w:szCs w:val="32"/>
        </w:rPr>
      </w:pPr>
      <w:r>
        <w:rPr>
          <w:rFonts w:ascii="Times New Roman" w:hAnsi="Times New Roman" w:eastAsia="仿宋" w:cs="Times New Roman"/>
          <w:sz w:val="32"/>
          <w:szCs w:val="32"/>
        </w:rPr>
        <w:t>苏州市</w:t>
      </w:r>
      <w:r>
        <w:rPr>
          <w:rFonts w:hint="eastAsia" w:ascii="Times New Roman" w:hAnsi="Times New Roman" w:eastAsia="仿宋" w:cs="Times New Roman"/>
          <w:sz w:val="32"/>
          <w:szCs w:val="32"/>
        </w:rPr>
        <w:t>应急管理局</w:t>
      </w:r>
      <w:r>
        <w:rPr>
          <w:rFonts w:ascii="Times New Roman" w:hAnsi="Times New Roman" w:eastAsia="仿宋" w:cs="Times New Roman"/>
          <w:sz w:val="32"/>
          <w:szCs w:val="32"/>
        </w:rPr>
        <w:t>编制</w:t>
      </w:r>
    </w:p>
    <w:p>
      <w:pPr>
        <w:snapToGrid w:val="0"/>
        <w:spacing w:before="187" w:after="187"/>
        <w:jc w:val="center"/>
        <w:rPr>
          <w:rFonts w:ascii="宋体" w:hAnsi="宋体" w:eastAsia="宋体"/>
          <w:b/>
          <w:bCs/>
          <w:sz w:val="44"/>
          <w:szCs w:val="44"/>
        </w:rPr>
      </w:pPr>
    </w:p>
    <w:p>
      <w:pPr>
        <w:snapToGrid w:val="0"/>
        <w:spacing w:before="187" w:after="187"/>
        <w:jc w:val="center"/>
        <w:rPr>
          <w:rFonts w:ascii="宋体" w:hAnsi="宋体" w:eastAsia="宋体"/>
          <w:b/>
          <w:bCs/>
          <w:sz w:val="44"/>
          <w:szCs w:val="44"/>
        </w:rPr>
        <w:sectPr>
          <w:headerReference r:id="rId3" w:type="default"/>
          <w:footerReference r:id="rId4" w:type="default"/>
          <w:pgSz w:w="12240" w:h="15840"/>
          <w:pgMar w:top="1417" w:right="1417" w:bottom="1417" w:left="1417" w:header="851" w:footer="992" w:gutter="0"/>
          <w:pgNumType w:fmt="decimal"/>
          <w:cols w:space="425" w:num="1"/>
          <w:docGrid w:type="lines" w:linePitch="312" w:charSpace="0"/>
        </w:sectPr>
      </w:pPr>
    </w:p>
    <w:sdt>
      <w:sdtPr>
        <w:rPr>
          <w:rFonts w:ascii="Times New Roman" w:hAnsi="Times New Roman" w:eastAsia="黑体" w:cs="Times New Roman"/>
          <w:color w:val="auto"/>
          <w:kern w:val="2"/>
          <w:sz w:val="21"/>
          <w:szCs w:val="22"/>
          <w:lang w:val="zh-CN"/>
        </w:rPr>
        <w:id w:val="1046496450"/>
        <w:docPartObj>
          <w:docPartGallery w:val="Table of Contents"/>
          <w:docPartUnique/>
        </w:docPartObj>
      </w:sdtPr>
      <w:sdtEndPr>
        <w:rPr>
          <w:rFonts w:ascii="Times New Roman" w:hAnsi="Times New Roman" w:cs="Times New Roman" w:eastAsiaTheme="minorEastAsia"/>
          <w:b/>
          <w:bCs/>
          <w:smallCaps/>
          <w:color w:val="auto"/>
          <w:kern w:val="2"/>
          <w:sz w:val="24"/>
          <w:szCs w:val="24"/>
          <w:lang w:val="zh-CN"/>
        </w:rPr>
      </w:sdtEndPr>
      <w:sdtContent>
        <w:p>
          <w:pPr>
            <w:pStyle w:val="29"/>
            <w:jc w:val="center"/>
            <w:rPr>
              <w:rFonts w:ascii="Times New Roman" w:hAnsi="Times New Roman" w:eastAsia="黑体" w:cs="Times New Roman"/>
              <w:color w:val="auto"/>
              <w:sz w:val="36"/>
              <w:szCs w:val="36"/>
            </w:rPr>
          </w:pPr>
          <w:r>
            <w:rPr>
              <w:rFonts w:ascii="Times New Roman" w:hAnsi="Times New Roman" w:eastAsia="黑体" w:cs="Times New Roman"/>
              <w:color w:val="auto"/>
              <w:sz w:val="36"/>
              <w:szCs w:val="36"/>
              <w:lang w:val="zh-CN"/>
            </w:rPr>
            <w:t>目录</w:t>
          </w:r>
        </w:p>
        <w:p>
          <w:pPr>
            <w:pStyle w:val="13"/>
            <w:tabs>
              <w:tab w:val="left" w:pos="420"/>
              <w:tab w:val="right" w:leader="dot" w:pos="9396"/>
            </w:tabs>
            <w:rPr>
              <w:rFonts w:cstheme="minorBidi"/>
              <w:b w:val="0"/>
              <w:bCs w:val="0"/>
              <w:caps w:val="0"/>
              <w:sz w:val="21"/>
              <w:szCs w:val="22"/>
            </w:rPr>
          </w:pPr>
          <w:r>
            <w:rPr>
              <w:rFonts w:ascii="Times New Roman" w:hAnsi="Times New Roman" w:cs="Times New Roman"/>
              <w:bCs w:val="0"/>
              <w:sz w:val="24"/>
              <w:szCs w:val="24"/>
            </w:rPr>
            <w:fldChar w:fldCharType="begin"/>
          </w:r>
          <w:r>
            <w:rPr>
              <w:rFonts w:ascii="Times New Roman" w:hAnsi="Times New Roman" w:cs="Times New Roman"/>
              <w:bCs w:val="0"/>
              <w:sz w:val="24"/>
              <w:szCs w:val="24"/>
            </w:rPr>
            <w:instrText xml:space="preserve"> TOC \o "1-3" \h \z \u </w:instrText>
          </w:r>
          <w:r>
            <w:rPr>
              <w:rFonts w:ascii="Times New Roman" w:hAnsi="Times New Roman" w:cs="Times New Roman"/>
              <w:bCs w:val="0"/>
              <w:sz w:val="24"/>
              <w:szCs w:val="24"/>
            </w:rPr>
            <w:fldChar w:fldCharType="separate"/>
          </w:r>
          <w:r>
            <w:fldChar w:fldCharType="begin"/>
          </w:r>
          <w:r>
            <w:instrText xml:space="preserve"> HYPERLINK \l "_Toc85809970" </w:instrText>
          </w:r>
          <w:r>
            <w:fldChar w:fldCharType="separate"/>
          </w:r>
          <w:r>
            <w:rPr>
              <w:rStyle w:val="24"/>
              <w:rFonts w:ascii="黑体" w:hAnsi="黑体" w:eastAsia="黑体" w:cs="黑体"/>
              <w:color w:val="auto"/>
            </w:rPr>
            <w:t>1</w:t>
          </w:r>
          <w:r>
            <w:rPr>
              <w:rFonts w:cstheme="minorBidi"/>
              <w:b w:val="0"/>
              <w:bCs w:val="0"/>
              <w:caps w:val="0"/>
              <w:sz w:val="21"/>
              <w:szCs w:val="22"/>
            </w:rPr>
            <w:tab/>
          </w:r>
          <w:r>
            <w:rPr>
              <w:rStyle w:val="24"/>
              <w:rFonts w:ascii="黑体" w:hAnsi="黑体" w:eastAsia="黑体"/>
              <w:color w:val="auto"/>
            </w:rPr>
            <w:t>适用范围</w:t>
          </w:r>
          <w:r>
            <w:tab/>
          </w:r>
          <w:r>
            <w:fldChar w:fldCharType="begin"/>
          </w:r>
          <w:r>
            <w:instrText xml:space="preserve"> PAGEREF _Toc85809970 \h </w:instrText>
          </w:r>
          <w:r>
            <w:fldChar w:fldCharType="separate"/>
          </w:r>
          <w:r>
            <w:t>1</w:t>
          </w:r>
          <w:r>
            <w:fldChar w:fldCharType="end"/>
          </w:r>
          <w:r>
            <w:fldChar w:fldCharType="end"/>
          </w:r>
        </w:p>
        <w:p>
          <w:pPr>
            <w:pStyle w:val="13"/>
            <w:tabs>
              <w:tab w:val="left" w:pos="420"/>
              <w:tab w:val="right" w:leader="dot" w:pos="9396"/>
            </w:tabs>
            <w:rPr>
              <w:rFonts w:cstheme="minorBidi"/>
              <w:b w:val="0"/>
              <w:bCs w:val="0"/>
              <w:caps w:val="0"/>
              <w:sz w:val="21"/>
              <w:szCs w:val="22"/>
            </w:rPr>
          </w:pPr>
          <w:r>
            <w:fldChar w:fldCharType="begin"/>
          </w:r>
          <w:r>
            <w:instrText xml:space="preserve"> HYPERLINK \l "_Toc85809971" </w:instrText>
          </w:r>
          <w:r>
            <w:fldChar w:fldCharType="separate"/>
          </w:r>
          <w:r>
            <w:rPr>
              <w:rStyle w:val="24"/>
              <w:rFonts w:ascii="黑体" w:hAnsi="黑体" w:eastAsia="黑体" w:cs="黑体"/>
              <w:color w:val="auto"/>
            </w:rPr>
            <w:t>2</w:t>
          </w:r>
          <w:r>
            <w:rPr>
              <w:rFonts w:cstheme="minorBidi"/>
              <w:b w:val="0"/>
              <w:bCs w:val="0"/>
              <w:caps w:val="0"/>
              <w:sz w:val="21"/>
              <w:szCs w:val="22"/>
            </w:rPr>
            <w:tab/>
          </w:r>
          <w:r>
            <w:rPr>
              <w:rStyle w:val="24"/>
              <w:rFonts w:ascii="黑体" w:hAnsi="黑体" w:eastAsia="黑体"/>
              <w:color w:val="auto"/>
            </w:rPr>
            <w:t>规范性引用文件</w:t>
          </w:r>
          <w:r>
            <w:tab/>
          </w:r>
          <w:r>
            <w:fldChar w:fldCharType="begin"/>
          </w:r>
          <w:r>
            <w:instrText xml:space="preserve"> PAGEREF _Toc85809971 \h </w:instrText>
          </w:r>
          <w:r>
            <w:fldChar w:fldCharType="separate"/>
          </w:r>
          <w:r>
            <w:t>1</w:t>
          </w:r>
          <w:r>
            <w:fldChar w:fldCharType="end"/>
          </w:r>
          <w:r>
            <w:fldChar w:fldCharType="end"/>
          </w:r>
        </w:p>
        <w:p>
          <w:pPr>
            <w:pStyle w:val="13"/>
            <w:tabs>
              <w:tab w:val="left" w:pos="420"/>
              <w:tab w:val="right" w:leader="dot" w:pos="9396"/>
            </w:tabs>
            <w:rPr>
              <w:rFonts w:cstheme="minorBidi"/>
              <w:b w:val="0"/>
              <w:bCs w:val="0"/>
              <w:caps w:val="0"/>
              <w:sz w:val="21"/>
              <w:szCs w:val="22"/>
            </w:rPr>
          </w:pPr>
          <w:r>
            <w:fldChar w:fldCharType="begin"/>
          </w:r>
          <w:r>
            <w:instrText xml:space="preserve"> HYPERLINK \l "_Toc85809972" </w:instrText>
          </w:r>
          <w:r>
            <w:fldChar w:fldCharType="separate"/>
          </w:r>
          <w:r>
            <w:rPr>
              <w:rStyle w:val="24"/>
              <w:rFonts w:ascii="黑体" w:hAnsi="黑体" w:eastAsia="黑体" w:cs="黑体"/>
              <w:color w:val="auto"/>
            </w:rPr>
            <w:t>3</w:t>
          </w:r>
          <w:r>
            <w:rPr>
              <w:rFonts w:cstheme="minorBidi"/>
              <w:b w:val="0"/>
              <w:bCs w:val="0"/>
              <w:caps w:val="0"/>
              <w:sz w:val="21"/>
              <w:szCs w:val="22"/>
            </w:rPr>
            <w:tab/>
          </w:r>
          <w:r>
            <w:rPr>
              <w:rStyle w:val="24"/>
              <w:rFonts w:ascii="黑体" w:hAnsi="黑体" w:eastAsia="黑体"/>
              <w:color w:val="auto"/>
            </w:rPr>
            <w:t>危险化学品管理要求</w:t>
          </w:r>
          <w:r>
            <w:tab/>
          </w:r>
          <w:r>
            <w:fldChar w:fldCharType="begin"/>
          </w:r>
          <w:r>
            <w:instrText xml:space="preserve"> PAGEREF _Toc85809972 \h </w:instrText>
          </w:r>
          <w:r>
            <w:fldChar w:fldCharType="separate"/>
          </w:r>
          <w:r>
            <w:t>1</w:t>
          </w:r>
          <w:r>
            <w:fldChar w:fldCharType="end"/>
          </w:r>
          <w:r>
            <w:fldChar w:fldCharType="end"/>
          </w:r>
        </w:p>
        <w:p>
          <w:pPr>
            <w:pStyle w:val="16"/>
            <w:tabs>
              <w:tab w:val="left" w:pos="840"/>
              <w:tab w:val="right" w:leader="dot" w:pos="9396"/>
            </w:tabs>
            <w:rPr>
              <w:rFonts w:hint="eastAsia" w:ascii="黑体" w:hAnsi="黑体" w:eastAsia="黑体" w:cs="黑体"/>
              <w:smallCaps w:val="0"/>
              <w:sz w:val="21"/>
              <w:szCs w:val="22"/>
            </w:rPr>
          </w:pPr>
          <w:r>
            <w:rPr>
              <w:rFonts w:hint="eastAsia" w:ascii="黑体" w:hAnsi="黑体" w:eastAsia="黑体" w:cs="黑体"/>
            </w:rPr>
            <w:fldChar w:fldCharType="begin"/>
          </w:r>
          <w:r>
            <w:rPr>
              <w:rFonts w:hint="eastAsia" w:ascii="黑体" w:hAnsi="黑体" w:eastAsia="黑体" w:cs="黑体"/>
            </w:rPr>
            <w:instrText xml:space="preserve"> HYPERLINK \l "_Toc85809973" </w:instrText>
          </w:r>
          <w:r>
            <w:rPr>
              <w:rFonts w:hint="eastAsia" w:ascii="黑体" w:hAnsi="黑体" w:eastAsia="黑体" w:cs="黑体"/>
            </w:rPr>
            <w:fldChar w:fldCharType="separate"/>
          </w:r>
          <w:r>
            <w:rPr>
              <w:rStyle w:val="24"/>
              <w:rFonts w:hint="eastAsia" w:ascii="黑体" w:hAnsi="黑体" w:eastAsia="黑体" w:cs="黑体"/>
              <w:bCs/>
              <w:color w:val="auto"/>
            </w:rPr>
            <w:t>3.1</w:t>
          </w:r>
          <w:r>
            <w:rPr>
              <w:rFonts w:hint="eastAsia" w:ascii="黑体" w:hAnsi="黑体" w:eastAsia="黑体" w:cs="黑体"/>
              <w:smallCaps w:val="0"/>
              <w:sz w:val="21"/>
              <w:szCs w:val="22"/>
            </w:rPr>
            <w:tab/>
          </w:r>
          <w:r>
            <w:rPr>
              <w:rStyle w:val="24"/>
              <w:rFonts w:hint="eastAsia" w:ascii="黑体" w:hAnsi="黑体" w:eastAsia="黑体" w:cs="黑体"/>
              <w:color w:val="auto"/>
            </w:rPr>
            <w:t>危险化学品通用要求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_Toc85809973 \h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rPr>
            <w:fldChar w:fldCharType="end"/>
          </w:r>
        </w:p>
        <w:p>
          <w:pPr>
            <w:pStyle w:val="16"/>
            <w:tabs>
              <w:tab w:val="left" w:pos="840"/>
              <w:tab w:val="right" w:leader="dot" w:pos="939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"_Toc85809974" </w:instrText>
          </w:r>
          <w:r>
            <w:rPr>
              <w:rFonts w:hint="eastAsia" w:ascii="黑体" w:hAnsi="黑体" w:eastAsia="黑体" w:cs="黑体"/>
            </w:rPr>
            <w:fldChar w:fldCharType="separate"/>
          </w:r>
          <w:r>
            <w:rPr>
              <w:rFonts w:hint="eastAsia" w:ascii="黑体" w:hAnsi="黑体" w:eastAsia="黑体" w:cs="黑体"/>
            </w:rPr>
            <w:t>3.2</w:t>
          </w:r>
          <w:r>
            <w:rPr>
              <w:rFonts w:hint="eastAsia" w:ascii="黑体" w:hAnsi="黑体" w:eastAsia="黑体" w:cs="黑体"/>
            </w:rPr>
            <w:tab/>
          </w:r>
          <w:r>
            <w:rPr>
              <w:rFonts w:hint="eastAsia" w:ascii="黑体" w:hAnsi="黑体" w:eastAsia="黑体" w:cs="黑体"/>
            </w:rPr>
            <w:t>燃爆性危险化学品一般要求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_Toc85809974 \h </w:instrText>
          </w:r>
          <w:r>
            <w:rPr>
              <w:rFonts w:hint="eastAsia" w:ascii="黑体" w:hAnsi="黑体" w:eastAsia="黑体" w:cs="黑体"/>
            </w:rPr>
            <w:fldChar w:fldCharType="separate"/>
          </w:r>
          <w:r>
            <w:rPr>
              <w:rFonts w:hint="eastAsia" w:ascii="黑体" w:hAnsi="黑体" w:eastAsia="黑体" w:cs="黑体"/>
            </w:rPr>
            <w:t>4</w:t>
          </w:r>
          <w:r>
            <w:rPr>
              <w:rFonts w:hint="eastAsia" w:ascii="黑体" w:hAnsi="黑体" w:eastAsia="黑体" w:cs="黑体"/>
            </w:rPr>
            <w:fldChar w:fldCharType="end"/>
          </w:r>
          <w:r>
            <w:rPr>
              <w:rFonts w:hint="eastAsia" w:ascii="黑体" w:hAnsi="黑体" w:eastAsia="黑体" w:cs="黑体"/>
            </w:rPr>
            <w:fldChar w:fldCharType="end"/>
          </w:r>
        </w:p>
        <w:p>
          <w:pPr>
            <w:pStyle w:val="16"/>
            <w:tabs>
              <w:tab w:val="left" w:pos="840"/>
              <w:tab w:val="right" w:leader="dot" w:pos="939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"_Toc85809975" </w:instrText>
          </w:r>
          <w:r>
            <w:rPr>
              <w:rFonts w:hint="eastAsia" w:ascii="黑体" w:hAnsi="黑体" w:eastAsia="黑体" w:cs="黑体"/>
            </w:rPr>
            <w:fldChar w:fldCharType="separate"/>
          </w:r>
          <w:r>
            <w:rPr>
              <w:rFonts w:hint="eastAsia" w:ascii="黑体" w:hAnsi="黑体" w:eastAsia="黑体" w:cs="黑体"/>
            </w:rPr>
            <w:t>3.2.1</w:t>
          </w:r>
          <w:r>
            <w:rPr>
              <w:rFonts w:hint="eastAsia" w:ascii="黑体" w:hAnsi="黑体" w:eastAsia="黑体" w:cs="黑体"/>
            </w:rPr>
            <w:tab/>
          </w:r>
          <w:r>
            <w:rPr>
              <w:rFonts w:hint="eastAsia" w:ascii="黑体" w:hAnsi="黑体" w:eastAsia="黑体" w:cs="黑体"/>
            </w:rPr>
            <w:t>保险粉、电石等固体类有燃爆风险的危险化学品使用储存要求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_Toc85809975 \h </w:instrText>
          </w:r>
          <w:r>
            <w:rPr>
              <w:rFonts w:hint="eastAsia" w:ascii="黑体" w:hAnsi="黑体" w:eastAsia="黑体" w:cs="黑体"/>
            </w:rPr>
            <w:fldChar w:fldCharType="separate"/>
          </w:r>
          <w:r>
            <w:rPr>
              <w:rFonts w:hint="eastAsia" w:ascii="黑体" w:hAnsi="黑体" w:eastAsia="黑体" w:cs="黑体"/>
            </w:rPr>
            <w:t>4</w:t>
          </w:r>
          <w:r>
            <w:rPr>
              <w:rFonts w:hint="eastAsia" w:ascii="黑体" w:hAnsi="黑体" w:eastAsia="黑体" w:cs="黑体"/>
            </w:rPr>
            <w:fldChar w:fldCharType="end"/>
          </w:r>
          <w:r>
            <w:rPr>
              <w:rFonts w:hint="eastAsia" w:ascii="黑体" w:hAnsi="黑体" w:eastAsia="黑体" w:cs="黑体"/>
            </w:rPr>
            <w:fldChar w:fldCharType="end"/>
          </w:r>
        </w:p>
        <w:p>
          <w:pPr>
            <w:pStyle w:val="16"/>
            <w:tabs>
              <w:tab w:val="left" w:pos="840"/>
              <w:tab w:val="right" w:leader="dot" w:pos="939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"_Toc85809976" </w:instrText>
          </w:r>
          <w:r>
            <w:rPr>
              <w:rFonts w:hint="eastAsia" w:ascii="黑体" w:hAnsi="黑体" w:eastAsia="黑体" w:cs="黑体"/>
            </w:rPr>
            <w:fldChar w:fldCharType="separate"/>
          </w:r>
          <w:r>
            <w:rPr>
              <w:rFonts w:hint="eastAsia" w:ascii="黑体" w:hAnsi="黑体" w:eastAsia="黑体" w:cs="黑体"/>
            </w:rPr>
            <w:t>3.2.2</w:t>
          </w:r>
          <w:r>
            <w:rPr>
              <w:rFonts w:hint="eastAsia" w:ascii="黑体" w:hAnsi="黑体" w:eastAsia="黑体" w:cs="黑体"/>
            </w:rPr>
            <w:tab/>
          </w:r>
          <w:r>
            <w:rPr>
              <w:rFonts w:hint="eastAsia" w:ascii="黑体" w:hAnsi="黑体" w:eastAsia="黑体" w:cs="黑体"/>
            </w:rPr>
            <w:t>乙醇、乙酸乙酯、丙酮、甲醇、甲苯等易燃液体类危险化学品使用储存要求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_Toc85809976 \h </w:instrText>
          </w:r>
          <w:r>
            <w:rPr>
              <w:rFonts w:hint="eastAsia" w:ascii="黑体" w:hAnsi="黑体" w:eastAsia="黑体" w:cs="黑体"/>
            </w:rPr>
            <w:fldChar w:fldCharType="separate"/>
          </w:r>
          <w:r>
            <w:rPr>
              <w:rFonts w:hint="eastAsia" w:ascii="黑体" w:hAnsi="黑体" w:eastAsia="黑体" w:cs="黑体"/>
            </w:rPr>
            <w:t>5</w:t>
          </w:r>
          <w:r>
            <w:rPr>
              <w:rFonts w:hint="eastAsia" w:ascii="黑体" w:hAnsi="黑体" w:eastAsia="黑体" w:cs="黑体"/>
            </w:rPr>
            <w:fldChar w:fldCharType="end"/>
          </w:r>
          <w:r>
            <w:rPr>
              <w:rFonts w:hint="eastAsia" w:ascii="黑体" w:hAnsi="黑体" w:eastAsia="黑体" w:cs="黑体"/>
            </w:rPr>
            <w:fldChar w:fldCharType="end"/>
          </w:r>
        </w:p>
        <w:p>
          <w:pPr>
            <w:pStyle w:val="16"/>
            <w:tabs>
              <w:tab w:val="left" w:pos="840"/>
              <w:tab w:val="right" w:leader="dot" w:pos="939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"_Toc85809977" </w:instrText>
          </w:r>
          <w:r>
            <w:rPr>
              <w:rFonts w:hint="eastAsia" w:ascii="黑体" w:hAnsi="黑体" w:eastAsia="黑体" w:cs="黑体"/>
            </w:rPr>
            <w:fldChar w:fldCharType="separate"/>
          </w:r>
          <w:r>
            <w:rPr>
              <w:rFonts w:hint="eastAsia" w:ascii="黑体" w:hAnsi="黑体" w:eastAsia="黑体" w:cs="黑体"/>
            </w:rPr>
            <w:t>3.2.3</w:t>
          </w:r>
          <w:r>
            <w:rPr>
              <w:rFonts w:hint="eastAsia" w:ascii="黑体" w:hAnsi="黑体" w:eastAsia="黑体" w:cs="黑体"/>
            </w:rPr>
            <w:tab/>
          </w:r>
          <w:r>
            <w:rPr>
              <w:rFonts w:hint="eastAsia" w:ascii="黑体" w:hAnsi="黑体" w:eastAsia="黑体" w:cs="黑体"/>
            </w:rPr>
            <w:t>乙炔、天然气、氢气、液化石油气等易燃气体类危险化学品使用储存要求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_Toc85809977 \h </w:instrText>
          </w:r>
          <w:r>
            <w:rPr>
              <w:rFonts w:hint="eastAsia" w:ascii="黑体" w:hAnsi="黑体" w:eastAsia="黑体" w:cs="黑体"/>
            </w:rPr>
            <w:fldChar w:fldCharType="separate"/>
          </w:r>
          <w:r>
            <w:rPr>
              <w:rFonts w:hint="eastAsia" w:ascii="黑体" w:hAnsi="黑体" w:eastAsia="黑体" w:cs="黑体"/>
            </w:rPr>
            <w:t>5</w:t>
          </w:r>
          <w:r>
            <w:rPr>
              <w:rFonts w:hint="eastAsia" w:ascii="黑体" w:hAnsi="黑体" w:eastAsia="黑体" w:cs="黑体"/>
            </w:rPr>
            <w:fldChar w:fldCharType="end"/>
          </w:r>
          <w:r>
            <w:rPr>
              <w:rFonts w:hint="eastAsia" w:ascii="黑体" w:hAnsi="黑体" w:eastAsia="黑体" w:cs="黑体"/>
            </w:rPr>
            <w:fldChar w:fldCharType="end"/>
          </w:r>
        </w:p>
        <w:p>
          <w:pPr>
            <w:pStyle w:val="16"/>
            <w:tabs>
              <w:tab w:val="left" w:pos="840"/>
              <w:tab w:val="right" w:leader="dot" w:pos="939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"_Toc85809978" </w:instrText>
          </w:r>
          <w:r>
            <w:rPr>
              <w:rFonts w:hint="eastAsia" w:ascii="黑体" w:hAnsi="黑体" w:eastAsia="黑体" w:cs="黑体"/>
            </w:rPr>
            <w:fldChar w:fldCharType="separate"/>
          </w:r>
          <w:r>
            <w:rPr>
              <w:rFonts w:hint="eastAsia" w:ascii="黑体" w:hAnsi="黑体" w:eastAsia="黑体" w:cs="黑体"/>
            </w:rPr>
            <w:t>3.2.5</w:t>
          </w:r>
          <w:r>
            <w:rPr>
              <w:rFonts w:hint="eastAsia" w:ascii="黑体" w:hAnsi="黑体" w:eastAsia="黑体" w:cs="黑体"/>
            </w:rPr>
            <w:tab/>
          </w:r>
          <w:r>
            <w:rPr>
              <w:rFonts w:hint="eastAsia" w:ascii="黑体" w:hAnsi="黑体" w:eastAsia="黑体" w:cs="黑体"/>
            </w:rPr>
            <w:t>炸药等爆炸物类危险化学品使用储存要求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_Toc85809978 \h </w:instrText>
          </w:r>
          <w:r>
            <w:rPr>
              <w:rFonts w:hint="eastAsia" w:ascii="黑体" w:hAnsi="黑体" w:eastAsia="黑体" w:cs="黑体"/>
            </w:rPr>
            <w:fldChar w:fldCharType="separate"/>
          </w:r>
          <w:r>
            <w:rPr>
              <w:rFonts w:hint="eastAsia" w:ascii="黑体" w:hAnsi="黑体" w:eastAsia="黑体" w:cs="黑体"/>
            </w:rPr>
            <w:t>6</w:t>
          </w:r>
          <w:r>
            <w:rPr>
              <w:rFonts w:hint="eastAsia" w:ascii="黑体" w:hAnsi="黑体" w:eastAsia="黑体" w:cs="黑体"/>
            </w:rPr>
            <w:fldChar w:fldCharType="end"/>
          </w:r>
          <w:r>
            <w:rPr>
              <w:rFonts w:hint="eastAsia" w:ascii="黑体" w:hAnsi="黑体" w:eastAsia="黑体" w:cs="黑体"/>
            </w:rPr>
            <w:fldChar w:fldCharType="end"/>
          </w:r>
        </w:p>
        <w:p>
          <w:pPr>
            <w:pStyle w:val="16"/>
            <w:tabs>
              <w:tab w:val="left" w:pos="840"/>
              <w:tab w:val="right" w:leader="dot" w:pos="939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"_Toc85809979" </w:instrText>
          </w:r>
          <w:r>
            <w:rPr>
              <w:rFonts w:hint="eastAsia" w:ascii="黑体" w:hAnsi="黑体" w:eastAsia="黑体" w:cs="黑体"/>
            </w:rPr>
            <w:fldChar w:fldCharType="separate"/>
          </w:r>
          <w:r>
            <w:rPr>
              <w:rFonts w:hint="eastAsia" w:ascii="黑体" w:hAnsi="黑体" w:eastAsia="黑体" w:cs="黑体"/>
            </w:rPr>
            <w:t>3.3</w:t>
          </w:r>
          <w:r>
            <w:rPr>
              <w:rFonts w:hint="eastAsia" w:ascii="黑体" w:hAnsi="黑体" w:eastAsia="黑体" w:cs="黑体"/>
            </w:rPr>
            <w:tab/>
          </w:r>
          <w:r>
            <w:rPr>
              <w:rFonts w:hint="eastAsia" w:ascii="黑体" w:hAnsi="黑体" w:eastAsia="黑体" w:cs="黑体"/>
            </w:rPr>
            <w:t>毒害性危险化学品一般要求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_Toc85809979 \h </w:instrText>
          </w:r>
          <w:r>
            <w:rPr>
              <w:rFonts w:hint="eastAsia" w:ascii="黑体" w:hAnsi="黑体" w:eastAsia="黑体" w:cs="黑体"/>
            </w:rPr>
            <w:fldChar w:fldCharType="separate"/>
          </w:r>
          <w:r>
            <w:rPr>
              <w:rFonts w:hint="eastAsia" w:ascii="黑体" w:hAnsi="黑体" w:eastAsia="黑体" w:cs="黑体"/>
            </w:rPr>
            <w:t>7</w:t>
          </w:r>
          <w:r>
            <w:rPr>
              <w:rFonts w:hint="eastAsia" w:ascii="黑体" w:hAnsi="黑体" w:eastAsia="黑体" w:cs="黑体"/>
            </w:rPr>
            <w:fldChar w:fldCharType="end"/>
          </w:r>
          <w:r>
            <w:rPr>
              <w:rFonts w:hint="eastAsia" w:ascii="黑体" w:hAnsi="黑体" w:eastAsia="黑体" w:cs="黑体"/>
            </w:rPr>
            <w:fldChar w:fldCharType="end"/>
          </w:r>
        </w:p>
        <w:p>
          <w:pPr>
            <w:pStyle w:val="16"/>
            <w:tabs>
              <w:tab w:val="left" w:pos="840"/>
              <w:tab w:val="right" w:leader="dot" w:pos="939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"_Toc85809980" </w:instrText>
          </w:r>
          <w:r>
            <w:rPr>
              <w:rFonts w:hint="eastAsia" w:ascii="黑体" w:hAnsi="黑体" w:eastAsia="黑体" w:cs="黑体"/>
            </w:rPr>
            <w:fldChar w:fldCharType="separate"/>
          </w:r>
          <w:r>
            <w:rPr>
              <w:rFonts w:hint="eastAsia" w:ascii="黑体" w:hAnsi="黑体" w:eastAsia="黑体" w:cs="黑体"/>
            </w:rPr>
            <w:t>3.3.1</w:t>
          </w:r>
          <w:r>
            <w:rPr>
              <w:rFonts w:hint="eastAsia" w:ascii="黑体" w:hAnsi="黑体" w:eastAsia="黑体" w:cs="黑体"/>
            </w:rPr>
            <w:tab/>
          </w:r>
          <w:r>
            <w:rPr>
              <w:rFonts w:hint="eastAsia" w:ascii="黑体" w:hAnsi="黑体" w:eastAsia="黑体" w:cs="黑体"/>
            </w:rPr>
            <w:t>氯气、氰化钾、氰化钠等剧毒类危险化学品使用储存要求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_Toc85809980 \h </w:instrText>
          </w:r>
          <w:r>
            <w:rPr>
              <w:rFonts w:hint="eastAsia" w:ascii="黑体" w:hAnsi="黑体" w:eastAsia="黑体" w:cs="黑体"/>
            </w:rPr>
            <w:fldChar w:fldCharType="separate"/>
          </w:r>
          <w:r>
            <w:rPr>
              <w:rFonts w:hint="eastAsia" w:ascii="黑体" w:hAnsi="黑体" w:eastAsia="黑体" w:cs="黑体"/>
            </w:rPr>
            <w:t>7</w:t>
          </w:r>
          <w:r>
            <w:rPr>
              <w:rFonts w:hint="eastAsia" w:ascii="黑体" w:hAnsi="黑体" w:eastAsia="黑体" w:cs="黑体"/>
            </w:rPr>
            <w:fldChar w:fldCharType="end"/>
          </w:r>
          <w:r>
            <w:rPr>
              <w:rFonts w:hint="eastAsia" w:ascii="黑体" w:hAnsi="黑体" w:eastAsia="黑体" w:cs="黑体"/>
            </w:rPr>
            <w:fldChar w:fldCharType="end"/>
          </w:r>
        </w:p>
        <w:p>
          <w:pPr>
            <w:pStyle w:val="16"/>
            <w:tabs>
              <w:tab w:val="left" w:pos="840"/>
              <w:tab w:val="right" w:leader="dot" w:pos="939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"_Toc85809981" </w:instrText>
          </w:r>
          <w:r>
            <w:rPr>
              <w:rFonts w:hint="eastAsia" w:ascii="黑体" w:hAnsi="黑体" w:eastAsia="黑体" w:cs="黑体"/>
            </w:rPr>
            <w:fldChar w:fldCharType="separate"/>
          </w:r>
          <w:r>
            <w:rPr>
              <w:rFonts w:hint="eastAsia" w:ascii="黑体" w:hAnsi="黑体" w:eastAsia="黑体" w:cs="黑体"/>
            </w:rPr>
            <w:t>3.3.2</w:t>
          </w:r>
          <w:r>
            <w:rPr>
              <w:rFonts w:hint="eastAsia" w:ascii="黑体" w:hAnsi="黑体" w:eastAsia="黑体" w:cs="黑体"/>
            </w:rPr>
            <w:tab/>
          </w:r>
          <w:r>
            <w:rPr>
              <w:rFonts w:hint="eastAsia" w:ascii="黑体" w:hAnsi="黑体" w:eastAsia="黑体" w:cs="黑体"/>
            </w:rPr>
            <w:t>氨等高毒类危险化学品使用储存要求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_Toc85809981 \h </w:instrText>
          </w:r>
          <w:r>
            <w:rPr>
              <w:rFonts w:hint="eastAsia" w:ascii="黑体" w:hAnsi="黑体" w:eastAsia="黑体" w:cs="黑体"/>
            </w:rPr>
            <w:fldChar w:fldCharType="separate"/>
          </w:r>
          <w:r>
            <w:rPr>
              <w:rFonts w:hint="eastAsia" w:ascii="黑体" w:hAnsi="黑体" w:eastAsia="黑体" w:cs="黑体"/>
            </w:rPr>
            <w:t>7</w:t>
          </w:r>
          <w:r>
            <w:rPr>
              <w:rFonts w:hint="eastAsia" w:ascii="黑体" w:hAnsi="黑体" w:eastAsia="黑体" w:cs="黑体"/>
            </w:rPr>
            <w:fldChar w:fldCharType="end"/>
          </w:r>
          <w:r>
            <w:rPr>
              <w:rFonts w:hint="eastAsia" w:ascii="黑体" w:hAnsi="黑体" w:eastAsia="黑体" w:cs="黑体"/>
            </w:rPr>
            <w:fldChar w:fldCharType="end"/>
          </w:r>
        </w:p>
        <w:p>
          <w:pPr>
            <w:pStyle w:val="16"/>
            <w:tabs>
              <w:tab w:val="left" w:pos="840"/>
              <w:tab w:val="right" w:leader="dot" w:pos="939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"_Toc85809979" </w:instrText>
          </w:r>
          <w:r>
            <w:rPr>
              <w:rFonts w:hint="eastAsia" w:ascii="黑体" w:hAnsi="黑体" w:eastAsia="黑体" w:cs="黑体"/>
            </w:rPr>
            <w:fldChar w:fldCharType="separate"/>
          </w:r>
          <w:r>
            <w:rPr>
              <w:rFonts w:hint="eastAsia" w:ascii="黑体" w:hAnsi="黑体" w:eastAsia="黑体" w:cs="黑体"/>
            </w:rPr>
            <w:t>3.</w:t>
          </w:r>
          <w:r>
            <w:rPr>
              <w:rFonts w:hint="eastAsia" w:ascii="黑体" w:hAnsi="黑体" w:eastAsia="黑体" w:cs="黑体"/>
              <w:lang w:val="en-US" w:eastAsia="zh-CN"/>
            </w:rPr>
            <w:t>4</w:t>
          </w:r>
          <w:r>
            <w:rPr>
              <w:rFonts w:hint="eastAsia" w:ascii="黑体" w:hAnsi="黑体" w:eastAsia="黑体" w:cs="黑体"/>
            </w:rPr>
            <w:tab/>
          </w:r>
          <w:r>
            <w:rPr>
              <w:rFonts w:hint="eastAsia" w:ascii="黑体" w:hAnsi="黑体" w:eastAsia="黑体" w:cs="黑体"/>
              <w:lang w:val="en-US" w:eastAsia="zh-CN"/>
            </w:rPr>
            <w:t>腐蚀</w:t>
          </w:r>
          <w:r>
            <w:rPr>
              <w:rFonts w:hint="eastAsia" w:ascii="黑体" w:hAnsi="黑体" w:eastAsia="黑体" w:cs="黑体"/>
            </w:rPr>
            <w:t>性危险化学品一般要求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_Toc85809979 \h </w:instrText>
          </w:r>
          <w:r>
            <w:rPr>
              <w:rFonts w:hint="eastAsia" w:ascii="黑体" w:hAnsi="黑体" w:eastAsia="黑体" w:cs="黑体"/>
            </w:rPr>
            <w:fldChar w:fldCharType="separate"/>
          </w:r>
          <w:r>
            <w:rPr>
              <w:rFonts w:hint="eastAsia" w:ascii="黑体" w:hAnsi="黑体" w:eastAsia="黑体" w:cs="黑体"/>
            </w:rPr>
            <w:t>7</w:t>
          </w:r>
          <w:r>
            <w:rPr>
              <w:rFonts w:hint="eastAsia" w:ascii="黑体" w:hAnsi="黑体" w:eastAsia="黑体" w:cs="黑体"/>
            </w:rPr>
            <w:fldChar w:fldCharType="end"/>
          </w:r>
          <w:r>
            <w:rPr>
              <w:rFonts w:hint="eastAsia" w:ascii="黑体" w:hAnsi="黑体" w:eastAsia="黑体" w:cs="黑体"/>
            </w:rPr>
            <w:fldChar w:fldCharType="end"/>
          </w:r>
        </w:p>
        <w:p>
          <w:pPr>
            <w:pStyle w:val="16"/>
            <w:tabs>
              <w:tab w:val="left" w:pos="840"/>
              <w:tab w:val="right" w:leader="dot" w:pos="939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"_Toc85809980" </w:instrText>
          </w:r>
          <w:r>
            <w:rPr>
              <w:rFonts w:hint="eastAsia" w:ascii="黑体" w:hAnsi="黑体" w:eastAsia="黑体" w:cs="黑体"/>
            </w:rPr>
            <w:fldChar w:fldCharType="separate"/>
          </w:r>
          <w:r>
            <w:rPr>
              <w:rFonts w:hint="eastAsia" w:ascii="黑体" w:hAnsi="黑体" w:eastAsia="黑体" w:cs="黑体"/>
            </w:rPr>
            <w:t>3.</w:t>
          </w:r>
          <w:r>
            <w:rPr>
              <w:rFonts w:hint="eastAsia" w:ascii="黑体" w:hAnsi="黑体" w:eastAsia="黑体" w:cs="黑体"/>
              <w:lang w:val="en-US" w:eastAsia="zh-CN"/>
            </w:rPr>
            <w:t>4</w:t>
          </w:r>
          <w:r>
            <w:rPr>
              <w:rFonts w:hint="eastAsia" w:ascii="黑体" w:hAnsi="黑体" w:eastAsia="黑体" w:cs="黑体"/>
            </w:rPr>
            <w:t>.1</w:t>
          </w:r>
          <w:r>
            <w:rPr>
              <w:rFonts w:hint="eastAsia" w:ascii="黑体" w:hAnsi="黑体" w:eastAsia="黑体" w:cs="黑体"/>
            </w:rPr>
            <w:tab/>
          </w:r>
          <w:r>
            <w:rPr>
              <w:rFonts w:hint="eastAsia" w:ascii="黑体" w:hAnsi="黑体" w:eastAsia="黑体" w:cs="黑体"/>
            </w:rPr>
            <w:t>氢氧化钠、硫酸、盐酸等腐蚀性非气态类危险化学品使用储存要求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_Toc85809980 \h </w:instrText>
          </w:r>
          <w:r>
            <w:rPr>
              <w:rFonts w:hint="eastAsia" w:ascii="黑体" w:hAnsi="黑体" w:eastAsia="黑体" w:cs="黑体"/>
            </w:rPr>
            <w:fldChar w:fldCharType="separate"/>
          </w:r>
          <w:r>
            <w:rPr>
              <w:rFonts w:hint="eastAsia" w:ascii="黑体" w:hAnsi="黑体" w:eastAsia="黑体" w:cs="黑体"/>
            </w:rPr>
            <w:t>7</w:t>
          </w:r>
          <w:r>
            <w:rPr>
              <w:rFonts w:hint="eastAsia" w:ascii="黑体" w:hAnsi="黑体" w:eastAsia="黑体" w:cs="黑体"/>
            </w:rPr>
            <w:fldChar w:fldCharType="end"/>
          </w:r>
          <w:r>
            <w:rPr>
              <w:rFonts w:hint="eastAsia" w:ascii="黑体" w:hAnsi="黑体" w:eastAsia="黑体" w:cs="黑体"/>
            </w:rPr>
            <w:fldChar w:fldCharType="end"/>
          </w:r>
        </w:p>
        <w:p>
          <w:pPr>
            <w:pStyle w:val="16"/>
            <w:tabs>
              <w:tab w:val="left" w:pos="840"/>
              <w:tab w:val="right" w:leader="dot" w:pos="9396"/>
            </w:tabs>
          </w:pPr>
          <w:r>
            <w:rPr>
              <w:rFonts w:hint="eastAsia" w:ascii="黑体" w:hAnsi="黑体" w:eastAsia="黑体" w:cs="黑体"/>
            </w:rPr>
            <w:fldChar w:fldCharType="begin"/>
          </w:r>
          <w:r>
            <w:rPr>
              <w:rFonts w:hint="eastAsia" w:ascii="黑体" w:hAnsi="黑体" w:eastAsia="黑体" w:cs="黑体"/>
            </w:rPr>
            <w:instrText xml:space="preserve"> HYPERLINK \l "_Toc85809980" </w:instrText>
          </w:r>
          <w:r>
            <w:rPr>
              <w:rFonts w:hint="eastAsia" w:ascii="黑体" w:hAnsi="黑体" w:eastAsia="黑体" w:cs="黑体"/>
            </w:rPr>
            <w:fldChar w:fldCharType="separate"/>
          </w:r>
          <w:r>
            <w:rPr>
              <w:rFonts w:hint="eastAsia" w:ascii="黑体" w:hAnsi="黑体" w:eastAsia="黑体" w:cs="黑体"/>
            </w:rPr>
            <w:t>3.</w:t>
          </w:r>
          <w:r>
            <w:rPr>
              <w:rFonts w:hint="eastAsia" w:ascii="黑体" w:hAnsi="黑体" w:eastAsia="黑体" w:cs="黑体"/>
              <w:lang w:val="en-US" w:eastAsia="zh-CN"/>
            </w:rPr>
            <w:t>4</w:t>
          </w:r>
          <w:r>
            <w:rPr>
              <w:rFonts w:hint="eastAsia" w:ascii="黑体" w:hAnsi="黑体" w:eastAsia="黑体" w:cs="黑体"/>
            </w:rPr>
            <w:t>.</w:t>
          </w:r>
          <w:r>
            <w:rPr>
              <w:rFonts w:hint="eastAsia" w:ascii="黑体" w:hAnsi="黑体" w:eastAsia="黑体" w:cs="黑体"/>
              <w:lang w:val="en-US" w:eastAsia="zh-CN"/>
            </w:rPr>
            <w:t>2</w:t>
          </w:r>
          <w:r>
            <w:rPr>
              <w:rFonts w:hint="eastAsia" w:ascii="黑体" w:hAnsi="黑体" w:eastAsia="黑体" w:cs="黑体"/>
            </w:rPr>
            <w:tab/>
          </w:r>
          <w:r>
            <w:rPr>
              <w:rFonts w:hint="eastAsia" w:ascii="黑体" w:hAnsi="黑体" w:eastAsia="黑体" w:cs="黑体"/>
            </w:rPr>
            <w:t>二氧化硫等腐蚀性气态类危险化学品使用储存要求</w:t>
          </w:r>
          <w:r>
            <w:rPr>
              <w:rFonts w:hint="eastAsia" w:ascii="黑体" w:hAnsi="黑体" w:eastAsia="黑体" w:cs="黑体"/>
            </w:rPr>
            <w:tab/>
          </w:r>
          <w:r>
            <w:rPr>
              <w:rFonts w:hint="eastAsia" w:ascii="黑体" w:hAnsi="黑体" w:eastAsia="黑体" w:cs="黑体"/>
              <w:lang w:val="en-US" w:eastAsia="zh-CN"/>
            </w:rPr>
            <w:t>8</w:t>
          </w:r>
          <w:r>
            <w:rPr>
              <w:rFonts w:hint="eastAsia" w:ascii="黑体" w:hAnsi="黑体" w:eastAsia="黑体" w:cs="黑体"/>
            </w:rPr>
            <w:fldChar w:fldCharType="end"/>
          </w:r>
        </w:p>
        <w:p>
          <w:pPr>
            <w:pStyle w:val="13"/>
            <w:tabs>
              <w:tab w:val="left" w:pos="420"/>
              <w:tab w:val="right" w:leader="dot" w:pos="9396"/>
            </w:tabs>
            <w:rPr>
              <w:rFonts w:cstheme="minorBidi"/>
              <w:b w:val="0"/>
              <w:bCs w:val="0"/>
              <w:caps w:val="0"/>
              <w:sz w:val="21"/>
              <w:szCs w:val="22"/>
            </w:rPr>
          </w:pPr>
          <w:r>
            <w:fldChar w:fldCharType="begin"/>
          </w:r>
          <w:r>
            <w:instrText xml:space="preserve"> HYPERLINK \l "_Toc85809982" </w:instrText>
          </w:r>
          <w:r>
            <w:fldChar w:fldCharType="separate"/>
          </w:r>
          <w:r>
            <w:rPr>
              <w:rStyle w:val="24"/>
              <w:rFonts w:ascii="黑体" w:hAnsi="黑体" w:eastAsia="黑体" w:cs="黑体"/>
              <w:color w:val="auto"/>
            </w:rPr>
            <w:t>4</w:t>
          </w:r>
          <w:r>
            <w:rPr>
              <w:rFonts w:cstheme="minorBidi"/>
              <w:b w:val="0"/>
              <w:bCs w:val="0"/>
              <w:caps w:val="0"/>
              <w:sz w:val="21"/>
              <w:szCs w:val="22"/>
            </w:rPr>
            <w:tab/>
          </w:r>
          <w:r>
            <w:rPr>
              <w:rStyle w:val="24"/>
              <w:rFonts w:ascii="黑体" w:hAnsi="黑体" w:eastAsia="黑体"/>
              <w:color w:val="auto"/>
            </w:rPr>
            <w:t>重点行业领域企业安全管理要求</w:t>
          </w:r>
          <w:r>
            <w:tab/>
          </w:r>
          <w:r>
            <w:fldChar w:fldCharType="begin"/>
          </w:r>
          <w:r>
            <w:instrText xml:space="preserve"> PAGEREF _Toc85809982 \h </w:instrText>
          </w:r>
          <w:r>
            <w:fldChar w:fldCharType="separate"/>
          </w:r>
          <w:r>
            <w:t>9</w:t>
          </w:r>
          <w:r>
            <w:fldChar w:fldCharType="end"/>
          </w:r>
          <w:r>
            <w:fldChar w:fldCharType="end"/>
          </w:r>
        </w:p>
        <w:p>
          <w:pPr>
            <w:pStyle w:val="16"/>
            <w:tabs>
              <w:tab w:val="left" w:pos="840"/>
              <w:tab w:val="right" w:leader="dot" w:pos="9396"/>
            </w:tabs>
            <w:rPr>
              <w:rFonts w:hint="eastAsia" w:ascii="黑体" w:hAnsi="黑体" w:eastAsia="黑体" w:cs="黑体"/>
              <w:smallCaps w:val="0"/>
              <w:sz w:val="21"/>
              <w:szCs w:val="22"/>
            </w:rPr>
          </w:pPr>
          <w:r>
            <w:rPr>
              <w:rFonts w:hint="eastAsia" w:ascii="黑体" w:hAnsi="黑体" w:eastAsia="黑体" w:cs="黑体"/>
            </w:rPr>
            <w:fldChar w:fldCharType="begin"/>
          </w:r>
          <w:r>
            <w:rPr>
              <w:rFonts w:hint="eastAsia" w:ascii="黑体" w:hAnsi="黑体" w:eastAsia="黑体" w:cs="黑体"/>
            </w:rPr>
            <w:instrText xml:space="preserve"> HYPERLINK \l "_Toc85809983" </w:instrText>
          </w:r>
          <w:r>
            <w:rPr>
              <w:rFonts w:hint="eastAsia" w:ascii="黑体" w:hAnsi="黑体" w:eastAsia="黑体" w:cs="黑体"/>
            </w:rPr>
            <w:fldChar w:fldCharType="separate"/>
          </w:r>
          <w:r>
            <w:rPr>
              <w:rStyle w:val="24"/>
              <w:rFonts w:hint="eastAsia" w:ascii="黑体" w:hAnsi="黑体" w:eastAsia="黑体" w:cs="黑体"/>
              <w:bCs/>
              <w:color w:val="auto"/>
            </w:rPr>
            <w:t>4.1</w:t>
          </w:r>
          <w:r>
            <w:rPr>
              <w:rFonts w:hint="eastAsia" w:ascii="黑体" w:hAnsi="黑体" w:eastAsia="黑体" w:cs="黑体"/>
              <w:smallCaps w:val="0"/>
              <w:sz w:val="21"/>
              <w:szCs w:val="22"/>
            </w:rPr>
            <w:tab/>
          </w:r>
          <w:r>
            <w:rPr>
              <w:rStyle w:val="24"/>
              <w:rFonts w:hint="eastAsia" w:ascii="黑体" w:hAnsi="黑体" w:eastAsia="黑体" w:cs="黑体"/>
              <w:color w:val="auto"/>
            </w:rPr>
            <w:t>涉重大危险源企业管理要求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_Toc85809983 \h </w:instrText>
          </w:r>
          <w:r>
            <w:rPr>
              <w:rFonts w:hint="eastAsia" w:ascii="黑体" w:hAnsi="黑体" w:eastAsia="黑体" w:cs="黑体"/>
            </w:rPr>
            <w:fldChar w:fldCharType="separate"/>
          </w:r>
          <w:r>
            <w:rPr>
              <w:rFonts w:hint="eastAsia" w:ascii="黑体" w:hAnsi="黑体" w:eastAsia="黑体" w:cs="黑体"/>
            </w:rPr>
            <w:t>9</w:t>
          </w:r>
          <w:r>
            <w:rPr>
              <w:rFonts w:hint="eastAsia" w:ascii="黑体" w:hAnsi="黑体" w:eastAsia="黑体" w:cs="黑体"/>
            </w:rPr>
            <w:fldChar w:fldCharType="end"/>
          </w:r>
          <w:r>
            <w:rPr>
              <w:rFonts w:hint="eastAsia" w:ascii="黑体" w:hAnsi="黑体" w:eastAsia="黑体" w:cs="黑体"/>
            </w:rPr>
            <w:fldChar w:fldCharType="end"/>
          </w:r>
        </w:p>
        <w:p>
          <w:pPr>
            <w:pStyle w:val="16"/>
            <w:tabs>
              <w:tab w:val="left" w:pos="840"/>
              <w:tab w:val="right" w:leader="dot" w:pos="9396"/>
            </w:tabs>
            <w:rPr>
              <w:rFonts w:hint="eastAsia" w:ascii="黑体" w:hAnsi="黑体" w:eastAsia="黑体" w:cs="黑体"/>
              <w:smallCaps w:val="0"/>
              <w:sz w:val="21"/>
              <w:szCs w:val="22"/>
            </w:rPr>
          </w:pPr>
          <w:r>
            <w:rPr>
              <w:rFonts w:hint="eastAsia" w:ascii="黑体" w:hAnsi="黑体" w:eastAsia="黑体" w:cs="黑体"/>
            </w:rPr>
            <w:fldChar w:fldCharType="begin"/>
          </w:r>
          <w:r>
            <w:rPr>
              <w:rFonts w:hint="eastAsia" w:ascii="黑体" w:hAnsi="黑体" w:eastAsia="黑体" w:cs="黑体"/>
            </w:rPr>
            <w:instrText xml:space="preserve"> HYPERLINK \l "_Toc85809984" </w:instrText>
          </w:r>
          <w:r>
            <w:rPr>
              <w:rFonts w:hint="eastAsia" w:ascii="黑体" w:hAnsi="黑体" w:eastAsia="黑体" w:cs="黑体"/>
            </w:rPr>
            <w:fldChar w:fldCharType="separate"/>
          </w:r>
          <w:r>
            <w:rPr>
              <w:rStyle w:val="24"/>
              <w:rFonts w:hint="eastAsia" w:ascii="黑体" w:hAnsi="黑体" w:eastAsia="黑体" w:cs="黑体"/>
              <w:bCs/>
              <w:color w:val="auto"/>
            </w:rPr>
            <w:t>4.2</w:t>
          </w:r>
          <w:r>
            <w:rPr>
              <w:rFonts w:hint="eastAsia" w:ascii="黑体" w:hAnsi="黑体" w:eastAsia="黑体" w:cs="黑体"/>
              <w:smallCaps w:val="0"/>
              <w:sz w:val="21"/>
              <w:szCs w:val="22"/>
            </w:rPr>
            <w:tab/>
          </w:r>
          <w:r>
            <w:rPr>
              <w:rStyle w:val="24"/>
              <w:rFonts w:hint="eastAsia" w:ascii="黑体" w:hAnsi="黑体" w:eastAsia="黑体" w:cs="黑体"/>
              <w:color w:val="auto"/>
            </w:rPr>
            <w:t>涉加氢、聚合重点工艺企业管理要求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_Toc85809984 \h </w:instrText>
          </w:r>
          <w:r>
            <w:rPr>
              <w:rFonts w:hint="eastAsia" w:ascii="黑体" w:hAnsi="黑体" w:eastAsia="黑体" w:cs="黑体"/>
            </w:rPr>
            <w:fldChar w:fldCharType="separate"/>
          </w:r>
          <w:r>
            <w:rPr>
              <w:rFonts w:hint="eastAsia" w:ascii="黑体" w:hAnsi="黑体" w:eastAsia="黑体" w:cs="黑体"/>
            </w:rPr>
            <w:t>10</w:t>
          </w:r>
          <w:r>
            <w:rPr>
              <w:rFonts w:hint="eastAsia" w:ascii="黑体" w:hAnsi="黑体" w:eastAsia="黑体" w:cs="黑体"/>
            </w:rPr>
            <w:fldChar w:fldCharType="end"/>
          </w:r>
          <w:r>
            <w:rPr>
              <w:rFonts w:hint="eastAsia" w:ascii="黑体" w:hAnsi="黑体" w:eastAsia="黑体" w:cs="黑体"/>
            </w:rPr>
            <w:fldChar w:fldCharType="end"/>
          </w:r>
        </w:p>
        <w:p>
          <w:pPr>
            <w:pStyle w:val="16"/>
            <w:tabs>
              <w:tab w:val="left" w:pos="840"/>
              <w:tab w:val="right" w:leader="dot" w:pos="9396"/>
            </w:tabs>
            <w:rPr>
              <w:rFonts w:hint="eastAsia" w:ascii="黑体" w:hAnsi="黑体" w:eastAsia="黑体" w:cs="黑体"/>
              <w:smallCaps w:val="0"/>
              <w:sz w:val="21"/>
              <w:szCs w:val="22"/>
            </w:rPr>
          </w:pPr>
          <w:r>
            <w:rPr>
              <w:rFonts w:hint="eastAsia" w:ascii="黑体" w:hAnsi="黑体" w:eastAsia="黑体" w:cs="黑体"/>
            </w:rPr>
            <w:fldChar w:fldCharType="begin"/>
          </w:r>
          <w:r>
            <w:rPr>
              <w:rFonts w:hint="eastAsia" w:ascii="黑体" w:hAnsi="黑体" w:eastAsia="黑体" w:cs="黑体"/>
            </w:rPr>
            <w:instrText xml:space="preserve"> HYPERLINK \l "_Toc85809985" </w:instrText>
          </w:r>
          <w:r>
            <w:rPr>
              <w:rFonts w:hint="eastAsia" w:ascii="黑体" w:hAnsi="黑体" w:eastAsia="黑体" w:cs="黑体"/>
            </w:rPr>
            <w:fldChar w:fldCharType="separate"/>
          </w:r>
          <w:r>
            <w:rPr>
              <w:rStyle w:val="24"/>
              <w:rFonts w:hint="eastAsia" w:ascii="黑体" w:hAnsi="黑体" w:eastAsia="黑体" w:cs="黑体"/>
              <w:bCs/>
              <w:color w:val="auto"/>
            </w:rPr>
            <w:t>4.3</w:t>
          </w:r>
          <w:r>
            <w:rPr>
              <w:rFonts w:hint="eastAsia" w:ascii="黑体" w:hAnsi="黑体" w:eastAsia="黑体" w:cs="黑体"/>
              <w:smallCaps w:val="0"/>
              <w:sz w:val="21"/>
              <w:szCs w:val="22"/>
            </w:rPr>
            <w:tab/>
          </w:r>
          <w:r>
            <w:rPr>
              <w:rStyle w:val="24"/>
              <w:rFonts w:hint="eastAsia" w:ascii="黑体" w:hAnsi="黑体" w:eastAsia="黑体" w:cs="黑体"/>
              <w:color w:val="auto"/>
            </w:rPr>
            <w:t>金属熔融企业管理要求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_Toc85809985 \h </w:instrText>
          </w:r>
          <w:r>
            <w:rPr>
              <w:rFonts w:hint="eastAsia" w:ascii="黑体" w:hAnsi="黑体" w:eastAsia="黑体" w:cs="黑体"/>
            </w:rPr>
            <w:fldChar w:fldCharType="separate"/>
          </w:r>
          <w:r>
            <w:rPr>
              <w:rFonts w:hint="eastAsia" w:ascii="黑体" w:hAnsi="黑体" w:eastAsia="黑体" w:cs="黑体"/>
            </w:rPr>
            <w:t>11</w:t>
          </w:r>
          <w:r>
            <w:rPr>
              <w:rFonts w:hint="eastAsia" w:ascii="黑体" w:hAnsi="黑体" w:eastAsia="黑体" w:cs="黑体"/>
            </w:rPr>
            <w:fldChar w:fldCharType="end"/>
          </w:r>
          <w:r>
            <w:rPr>
              <w:rFonts w:hint="eastAsia" w:ascii="黑体" w:hAnsi="黑体" w:eastAsia="黑体" w:cs="黑体"/>
            </w:rPr>
            <w:fldChar w:fldCharType="end"/>
          </w:r>
        </w:p>
        <w:p>
          <w:pPr>
            <w:pStyle w:val="16"/>
            <w:tabs>
              <w:tab w:val="left" w:pos="840"/>
              <w:tab w:val="right" w:leader="dot" w:pos="9396"/>
            </w:tabs>
            <w:rPr>
              <w:rFonts w:hint="eastAsia" w:ascii="黑体" w:hAnsi="黑体" w:eastAsia="黑体" w:cs="黑体"/>
              <w:smallCaps w:val="0"/>
              <w:sz w:val="21"/>
              <w:szCs w:val="22"/>
            </w:rPr>
          </w:pPr>
          <w:r>
            <w:rPr>
              <w:rFonts w:hint="eastAsia" w:ascii="黑体" w:hAnsi="黑体" w:eastAsia="黑体" w:cs="黑体"/>
            </w:rPr>
            <w:fldChar w:fldCharType="begin"/>
          </w:r>
          <w:r>
            <w:rPr>
              <w:rFonts w:hint="eastAsia" w:ascii="黑体" w:hAnsi="黑体" w:eastAsia="黑体" w:cs="黑体"/>
            </w:rPr>
            <w:instrText xml:space="preserve"> HYPERLINK \l "_Toc85809986" </w:instrText>
          </w:r>
          <w:r>
            <w:rPr>
              <w:rFonts w:hint="eastAsia" w:ascii="黑体" w:hAnsi="黑体" w:eastAsia="黑体" w:cs="黑体"/>
            </w:rPr>
            <w:fldChar w:fldCharType="separate"/>
          </w:r>
          <w:r>
            <w:rPr>
              <w:rStyle w:val="24"/>
              <w:rFonts w:hint="eastAsia" w:ascii="黑体" w:hAnsi="黑体" w:eastAsia="黑体" w:cs="黑体"/>
              <w:bCs/>
              <w:color w:val="auto"/>
            </w:rPr>
            <w:t>4.4</w:t>
          </w:r>
          <w:r>
            <w:rPr>
              <w:rFonts w:hint="eastAsia" w:ascii="黑体" w:hAnsi="黑体" w:eastAsia="黑体" w:cs="黑体"/>
              <w:smallCaps w:val="0"/>
              <w:sz w:val="21"/>
              <w:szCs w:val="22"/>
            </w:rPr>
            <w:tab/>
          </w:r>
          <w:r>
            <w:rPr>
              <w:rStyle w:val="24"/>
              <w:rFonts w:hint="eastAsia" w:ascii="黑体" w:hAnsi="黑体" w:eastAsia="黑体" w:cs="黑体"/>
              <w:color w:val="auto"/>
            </w:rPr>
            <w:t>涉氨（制冷、分解）企业管理要求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_Toc85809986 \h </w:instrText>
          </w:r>
          <w:r>
            <w:rPr>
              <w:rFonts w:hint="eastAsia" w:ascii="黑体" w:hAnsi="黑体" w:eastAsia="黑体" w:cs="黑体"/>
            </w:rPr>
            <w:fldChar w:fldCharType="separate"/>
          </w:r>
          <w:r>
            <w:rPr>
              <w:rFonts w:hint="eastAsia" w:ascii="黑体" w:hAnsi="黑体" w:eastAsia="黑体" w:cs="黑体"/>
            </w:rPr>
            <w:t>13</w:t>
          </w:r>
          <w:r>
            <w:rPr>
              <w:rFonts w:hint="eastAsia" w:ascii="黑体" w:hAnsi="黑体" w:eastAsia="黑体" w:cs="黑体"/>
            </w:rPr>
            <w:fldChar w:fldCharType="end"/>
          </w:r>
          <w:r>
            <w:rPr>
              <w:rFonts w:hint="eastAsia" w:ascii="黑体" w:hAnsi="黑体" w:eastAsia="黑体" w:cs="黑体"/>
            </w:rPr>
            <w:fldChar w:fldCharType="end"/>
          </w:r>
        </w:p>
        <w:p>
          <w:pPr>
            <w:pStyle w:val="16"/>
            <w:tabs>
              <w:tab w:val="left" w:pos="840"/>
              <w:tab w:val="right" w:leader="dot" w:pos="9396"/>
            </w:tabs>
            <w:rPr>
              <w:rFonts w:hint="eastAsia" w:ascii="黑体" w:hAnsi="黑体" w:eastAsia="黑体" w:cs="黑体"/>
              <w:smallCaps w:val="0"/>
              <w:sz w:val="21"/>
              <w:szCs w:val="22"/>
            </w:rPr>
          </w:pPr>
          <w:r>
            <w:rPr>
              <w:rFonts w:hint="eastAsia" w:ascii="黑体" w:hAnsi="黑体" w:eastAsia="黑体" w:cs="黑体"/>
            </w:rPr>
            <w:fldChar w:fldCharType="begin"/>
          </w:r>
          <w:r>
            <w:rPr>
              <w:rFonts w:hint="eastAsia" w:ascii="黑体" w:hAnsi="黑体" w:eastAsia="黑体" w:cs="黑体"/>
            </w:rPr>
            <w:instrText xml:space="preserve"> HYPERLINK \l "_Toc85809987" </w:instrText>
          </w:r>
          <w:r>
            <w:rPr>
              <w:rFonts w:hint="eastAsia" w:ascii="黑体" w:hAnsi="黑体" w:eastAsia="黑体" w:cs="黑体"/>
            </w:rPr>
            <w:fldChar w:fldCharType="separate"/>
          </w:r>
          <w:r>
            <w:rPr>
              <w:rStyle w:val="24"/>
              <w:rFonts w:hint="eastAsia" w:ascii="黑体" w:hAnsi="黑体" w:eastAsia="黑体" w:cs="黑体"/>
              <w:bCs/>
              <w:color w:val="auto"/>
            </w:rPr>
            <w:t>4.5</w:t>
          </w:r>
          <w:r>
            <w:rPr>
              <w:rFonts w:hint="eastAsia" w:ascii="黑体" w:hAnsi="黑体" w:eastAsia="黑体" w:cs="黑体"/>
              <w:smallCaps w:val="0"/>
              <w:sz w:val="21"/>
              <w:szCs w:val="22"/>
            </w:rPr>
            <w:tab/>
          </w:r>
          <w:r>
            <w:rPr>
              <w:rStyle w:val="24"/>
              <w:rFonts w:hint="eastAsia" w:ascii="黑体" w:hAnsi="黑体" w:eastAsia="黑体" w:cs="黑体"/>
              <w:color w:val="auto"/>
            </w:rPr>
            <w:t>喷涂企业管理要求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_Toc85809987 \h </w:instrText>
          </w:r>
          <w:r>
            <w:rPr>
              <w:rFonts w:hint="eastAsia" w:ascii="黑体" w:hAnsi="黑体" w:eastAsia="黑体" w:cs="黑体"/>
            </w:rPr>
            <w:fldChar w:fldCharType="separate"/>
          </w:r>
          <w:r>
            <w:rPr>
              <w:rFonts w:hint="eastAsia" w:ascii="黑体" w:hAnsi="黑体" w:eastAsia="黑体" w:cs="黑体"/>
            </w:rPr>
            <w:t>16</w:t>
          </w:r>
          <w:r>
            <w:rPr>
              <w:rFonts w:hint="eastAsia" w:ascii="黑体" w:hAnsi="黑体" w:eastAsia="黑体" w:cs="黑体"/>
            </w:rPr>
            <w:fldChar w:fldCharType="end"/>
          </w:r>
          <w:r>
            <w:rPr>
              <w:rFonts w:hint="eastAsia" w:ascii="黑体" w:hAnsi="黑体" w:eastAsia="黑体" w:cs="黑体"/>
            </w:rPr>
            <w:fldChar w:fldCharType="end"/>
          </w:r>
        </w:p>
        <w:p>
          <w:pPr>
            <w:pStyle w:val="16"/>
            <w:tabs>
              <w:tab w:val="left" w:pos="840"/>
              <w:tab w:val="right" w:leader="dot" w:pos="9396"/>
            </w:tabs>
            <w:rPr>
              <w:rFonts w:hint="eastAsia" w:ascii="黑体" w:hAnsi="黑体" w:eastAsia="黑体" w:cs="黑体"/>
              <w:smallCaps w:val="0"/>
              <w:sz w:val="21"/>
              <w:szCs w:val="22"/>
            </w:rPr>
          </w:pPr>
          <w:r>
            <w:rPr>
              <w:rFonts w:hint="eastAsia" w:ascii="黑体" w:hAnsi="黑体" w:eastAsia="黑体" w:cs="黑体"/>
            </w:rPr>
            <w:fldChar w:fldCharType="begin"/>
          </w:r>
          <w:r>
            <w:rPr>
              <w:rFonts w:hint="eastAsia" w:ascii="黑体" w:hAnsi="黑体" w:eastAsia="黑体" w:cs="黑体"/>
            </w:rPr>
            <w:instrText xml:space="preserve"> HYPERLINK \l "_Toc85809988" </w:instrText>
          </w:r>
          <w:r>
            <w:rPr>
              <w:rFonts w:hint="eastAsia" w:ascii="黑体" w:hAnsi="黑体" w:eastAsia="黑体" w:cs="黑体"/>
            </w:rPr>
            <w:fldChar w:fldCharType="separate"/>
          </w:r>
          <w:r>
            <w:rPr>
              <w:rStyle w:val="24"/>
              <w:rFonts w:hint="eastAsia" w:ascii="黑体" w:hAnsi="黑体" w:eastAsia="黑体" w:cs="黑体"/>
              <w:bCs/>
              <w:color w:val="auto"/>
            </w:rPr>
            <w:t>4.6</w:t>
          </w:r>
          <w:r>
            <w:rPr>
              <w:rFonts w:hint="eastAsia" w:ascii="黑体" w:hAnsi="黑体" w:eastAsia="黑体" w:cs="黑体"/>
              <w:smallCaps w:val="0"/>
              <w:sz w:val="21"/>
              <w:szCs w:val="22"/>
            </w:rPr>
            <w:tab/>
          </w:r>
          <w:r>
            <w:rPr>
              <w:rStyle w:val="24"/>
              <w:rFonts w:hint="eastAsia" w:ascii="黑体" w:hAnsi="黑体" w:eastAsia="黑体" w:cs="黑体"/>
              <w:color w:val="auto"/>
            </w:rPr>
            <w:t>电镀企业管理要求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_Toc85809988 \h </w:instrText>
          </w:r>
          <w:r>
            <w:rPr>
              <w:rFonts w:hint="eastAsia" w:ascii="黑体" w:hAnsi="黑体" w:eastAsia="黑体" w:cs="黑体"/>
            </w:rPr>
            <w:fldChar w:fldCharType="separate"/>
          </w:r>
          <w:r>
            <w:rPr>
              <w:rFonts w:hint="eastAsia" w:ascii="黑体" w:hAnsi="黑体" w:eastAsia="黑体" w:cs="黑体"/>
            </w:rPr>
            <w:t>17</w:t>
          </w:r>
          <w:r>
            <w:rPr>
              <w:rFonts w:hint="eastAsia" w:ascii="黑体" w:hAnsi="黑体" w:eastAsia="黑体" w:cs="黑体"/>
            </w:rPr>
            <w:fldChar w:fldCharType="end"/>
          </w:r>
          <w:r>
            <w:rPr>
              <w:rFonts w:hint="eastAsia" w:ascii="黑体" w:hAnsi="黑体" w:eastAsia="黑体" w:cs="黑体"/>
            </w:rPr>
            <w:fldChar w:fldCharType="end"/>
          </w:r>
        </w:p>
        <w:p>
          <w:pPr>
            <w:pStyle w:val="16"/>
            <w:tabs>
              <w:tab w:val="left" w:pos="840"/>
              <w:tab w:val="right" w:leader="dot" w:pos="9396"/>
            </w:tabs>
            <w:rPr>
              <w:rFonts w:hint="eastAsia" w:ascii="黑体" w:hAnsi="黑体" w:eastAsia="黑体" w:cs="黑体"/>
              <w:smallCaps w:val="0"/>
              <w:sz w:val="21"/>
              <w:szCs w:val="22"/>
            </w:rPr>
          </w:pPr>
          <w:r>
            <w:rPr>
              <w:rFonts w:hint="eastAsia" w:ascii="黑体" w:hAnsi="黑体" w:eastAsia="黑体" w:cs="黑体"/>
            </w:rPr>
            <w:fldChar w:fldCharType="begin"/>
          </w:r>
          <w:r>
            <w:rPr>
              <w:rFonts w:hint="eastAsia" w:ascii="黑体" w:hAnsi="黑体" w:eastAsia="黑体" w:cs="黑体"/>
            </w:rPr>
            <w:instrText xml:space="preserve"> HYPERLINK \l "_Toc85809989" </w:instrText>
          </w:r>
          <w:r>
            <w:rPr>
              <w:rFonts w:hint="eastAsia" w:ascii="黑体" w:hAnsi="黑体" w:eastAsia="黑体" w:cs="黑体"/>
            </w:rPr>
            <w:fldChar w:fldCharType="separate"/>
          </w:r>
          <w:r>
            <w:rPr>
              <w:rStyle w:val="24"/>
              <w:rFonts w:hint="eastAsia" w:ascii="黑体" w:hAnsi="黑体" w:eastAsia="黑体" w:cs="黑体"/>
              <w:bCs/>
              <w:color w:val="auto"/>
            </w:rPr>
            <w:t>4.7</w:t>
          </w:r>
          <w:r>
            <w:rPr>
              <w:rFonts w:hint="eastAsia" w:ascii="黑体" w:hAnsi="黑体" w:eastAsia="黑体" w:cs="黑体"/>
              <w:smallCaps w:val="0"/>
              <w:sz w:val="21"/>
              <w:szCs w:val="22"/>
            </w:rPr>
            <w:tab/>
          </w:r>
          <w:r>
            <w:rPr>
              <w:rStyle w:val="24"/>
              <w:rFonts w:hint="eastAsia" w:ascii="黑体" w:hAnsi="黑体" w:eastAsia="黑体" w:cs="黑体"/>
              <w:color w:val="auto"/>
            </w:rPr>
            <w:t>印染企业管理要求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_Toc85809989 \h </w:instrText>
          </w:r>
          <w:r>
            <w:rPr>
              <w:rFonts w:hint="eastAsia" w:ascii="黑体" w:hAnsi="黑体" w:eastAsia="黑体" w:cs="黑体"/>
            </w:rPr>
            <w:fldChar w:fldCharType="separate"/>
          </w:r>
          <w:r>
            <w:rPr>
              <w:rFonts w:hint="eastAsia" w:ascii="黑体" w:hAnsi="黑体" w:eastAsia="黑体" w:cs="黑体"/>
            </w:rPr>
            <w:t>21</w:t>
          </w:r>
          <w:r>
            <w:rPr>
              <w:rFonts w:hint="eastAsia" w:ascii="黑体" w:hAnsi="黑体" w:eastAsia="黑体" w:cs="黑体"/>
            </w:rPr>
            <w:fldChar w:fldCharType="end"/>
          </w:r>
          <w:r>
            <w:rPr>
              <w:rFonts w:hint="eastAsia" w:ascii="黑体" w:hAnsi="黑体" w:eastAsia="黑体" w:cs="黑体"/>
            </w:rPr>
            <w:fldChar w:fldCharType="end"/>
          </w:r>
        </w:p>
        <w:p>
          <w:pPr>
            <w:pStyle w:val="16"/>
            <w:tabs>
              <w:tab w:val="left" w:pos="840"/>
              <w:tab w:val="right" w:leader="dot" w:pos="9396"/>
            </w:tabs>
            <w:rPr>
              <w:rFonts w:hint="eastAsia" w:ascii="黑体" w:hAnsi="黑体" w:eastAsia="黑体" w:cs="黑体"/>
              <w:smallCaps w:val="0"/>
              <w:sz w:val="21"/>
              <w:szCs w:val="22"/>
            </w:rPr>
          </w:pPr>
          <w:r>
            <w:rPr>
              <w:rFonts w:hint="eastAsia" w:ascii="黑体" w:hAnsi="黑体" w:eastAsia="黑体" w:cs="黑体"/>
            </w:rPr>
            <w:fldChar w:fldCharType="begin"/>
          </w:r>
          <w:r>
            <w:rPr>
              <w:rFonts w:hint="eastAsia" w:ascii="黑体" w:hAnsi="黑体" w:eastAsia="黑体" w:cs="黑体"/>
            </w:rPr>
            <w:instrText xml:space="preserve"> HYPERLINK \l "_Toc85809990" </w:instrText>
          </w:r>
          <w:r>
            <w:rPr>
              <w:rFonts w:hint="eastAsia" w:ascii="黑体" w:hAnsi="黑体" w:eastAsia="黑体" w:cs="黑体"/>
            </w:rPr>
            <w:fldChar w:fldCharType="separate"/>
          </w:r>
          <w:r>
            <w:rPr>
              <w:rStyle w:val="24"/>
              <w:rFonts w:hint="eastAsia" w:ascii="黑体" w:hAnsi="黑体" w:eastAsia="黑体" w:cs="黑体"/>
              <w:bCs/>
              <w:color w:val="auto"/>
            </w:rPr>
            <w:t>4.8</w:t>
          </w:r>
          <w:r>
            <w:rPr>
              <w:rFonts w:hint="eastAsia" w:ascii="黑体" w:hAnsi="黑体" w:eastAsia="黑体" w:cs="黑体"/>
              <w:smallCaps w:val="0"/>
              <w:sz w:val="21"/>
              <w:szCs w:val="22"/>
            </w:rPr>
            <w:tab/>
          </w:r>
          <w:r>
            <w:rPr>
              <w:rStyle w:val="24"/>
              <w:rFonts w:hint="eastAsia" w:ascii="黑体" w:hAnsi="黑体" w:eastAsia="黑体" w:cs="黑体"/>
              <w:color w:val="auto"/>
            </w:rPr>
            <w:t>涂布（涂层）企业管理要求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_Toc85809990 \h </w:instrText>
          </w:r>
          <w:r>
            <w:rPr>
              <w:rFonts w:hint="eastAsia" w:ascii="黑体" w:hAnsi="黑体" w:eastAsia="黑体" w:cs="黑体"/>
            </w:rPr>
            <w:fldChar w:fldCharType="separate"/>
          </w:r>
          <w:r>
            <w:rPr>
              <w:rFonts w:hint="eastAsia" w:ascii="黑体" w:hAnsi="黑体" w:eastAsia="黑体" w:cs="黑体"/>
            </w:rPr>
            <w:t>22</w:t>
          </w:r>
          <w:r>
            <w:rPr>
              <w:rFonts w:hint="eastAsia" w:ascii="黑体" w:hAnsi="黑体" w:eastAsia="黑体" w:cs="黑体"/>
            </w:rPr>
            <w:fldChar w:fldCharType="end"/>
          </w:r>
          <w:r>
            <w:rPr>
              <w:rFonts w:hint="eastAsia" w:ascii="黑体" w:hAnsi="黑体" w:eastAsia="黑体" w:cs="黑体"/>
            </w:rPr>
            <w:fldChar w:fldCharType="end"/>
          </w:r>
        </w:p>
        <w:p>
          <w:pPr>
            <w:pStyle w:val="16"/>
            <w:tabs>
              <w:tab w:val="left" w:pos="840"/>
              <w:tab w:val="right" w:leader="dot" w:pos="9396"/>
            </w:tabs>
            <w:rPr>
              <w:rFonts w:hint="eastAsia" w:ascii="黑体" w:hAnsi="黑体" w:eastAsia="黑体" w:cs="黑体"/>
              <w:smallCaps w:val="0"/>
              <w:sz w:val="21"/>
              <w:szCs w:val="22"/>
            </w:rPr>
          </w:pPr>
          <w:r>
            <w:rPr>
              <w:rFonts w:hint="eastAsia" w:ascii="黑体" w:hAnsi="黑体" w:eastAsia="黑体" w:cs="黑体"/>
            </w:rPr>
            <w:fldChar w:fldCharType="begin"/>
          </w:r>
          <w:r>
            <w:rPr>
              <w:rFonts w:hint="eastAsia" w:ascii="黑体" w:hAnsi="黑体" w:eastAsia="黑体" w:cs="黑体"/>
            </w:rPr>
            <w:instrText xml:space="preserve"> HYPERLINK \l "_Toc85809991" </w:instrText>
          </w:r>
          <w:r>
            <w:rPr>
              <w:rFonts w:hint="eastAsia" w:ascii="黑体" w:hAnsi="黑体" w:eastAsia="黑体" w:cs="黑体"/>
            </w:rPr>
            <w:fldChar w:fldCharType="separate"/>
          </w:r>
          <w:r>
            <w:rPr>
              <w:rStyle w:val="24"/>
              <w:rFonts w:hint="eastAsia" w:ascii="黑体" w:hAnsi="黑体" w:eastAsia="黑体" w:cs="黑体"/>
              <w:bCs/>
              <w:color w:val="auto"/>
            </w:rPr>
            <w:t>4.9</w:t>
          </w:r>
          <w:r>
            <w:rPr>
              <w:rFonts w:hint="eastAsia" w:ascii="黑体" w:hAnsi="黑体" w:eastAsia="黑体" w:cs="黑体"/>
              <w:smallCaps w:val="0"/>
              <w:sz w:val="21"/>
              <w:szCs w:val="22"/>
            </w:rPr>
            <w:tab/>
          </w:r>
          <w:r>
            <w:rPr>
              <w:rStyle w:val="24"/>
              <w:rFonts w:hint="eastAsia" w:ascii="黑体" w:hAnsi="黑体" w:eastAsia="黑体" w:cs="黑体"/>
              <w:color w:val="auto"/>
            </w:rPr>
            <w:t>真空镀膜（化学气相沉积法）企业管理要求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_Toc85809991 \h </w:instrText>
          </w:r>
          <w:r>
            <w:rPr>
              <w:rFonts w:hint="eastAsia" w:ascii="黑体" w:hAnsi="黑体" w:eastAsia="黑体" w:cs="黑体"/>
            </w:rPr>
            <w:fldChar w:fldCharType="separate"/>
          </w:r>
          <w:r>
            <w:rPr>
              <w:rFonts w:hint="eastAsia" w:ascii="黑体" w:hAnsi="黑体" w:eastAsia="黑体" w:cs="黑体"/>
            </w:rPr>
            <w:t>23</w:t>
          </w:r>
          <w:r>
            <w:rPr>
              <w:rFonts w:hint="eastAsia" w:ascii="黑体" w:hAnsi="黑体" w:eastAsia="黑体" w:cs="黑体"/>
            </w:rPr>
            <w:fldChar w:fldCharType="end"/>
          </w:r>
          <w:r>
            <w:rPr>
              <w:rFonts w:hint="eastAsia" w:ascii="黑体" w:hAnsi="黑体" w:eastAsia="黑体" w:cs="黑体"/>
            </w:rPr>
            <w:fldChar w:fldCharType="end"/>
          </w:r>
        </w:p>
        <w:p>
          <w:pPr>
            <w:pStyle w:val="16"/>
            <w:tabs>
              <w:tab w:val="left" w:pos="1050"/>
              <w:tab w:val="right" w:leader="dot" w:pos="9396"/>
            </w:tabs>
            <w:rPr>
              <w:rFonts w:hint="eastAsia" w:ascii="黑体" w:hAnsi="黑体" w:eastAsia="黑体" w:cs="黑体"/>
              <w:smallCaps w:val="0"/>
              <w:sz w:val="21"/>
              <w:szCs w:val="22"/>
            </w:rPr>
          </w:pPr>
          <w:r>
            <w:rPr>
              <w:rFonts w:hint="eastAsia" w:ascii="黑体" w:hAnsi="黑体" w:eastAsia="黑体" w:cs="黑体"/>
            </w:rPr>
            <w:fldChar w:fldCharType="begin"/>
          </w:r>
          <w:r>
            <w:rPr>
              <w:rFonts w:hint="eastAsia" w:ascii="黑体" w:hAnsi="黑体" w:eastAsia="黑体" w:cs="黑体"/>
            </w:rPr>
            <w:instrText xml:space="preserve"> HYPERLINK \l "_Toc85809992" </w:instrText>
          </w:r>
          <w:r>
            <w:rPr>
              <w:rFonts w:hint="eastAsia" w:ascii="黑体" w:hAnsi="黑体" w:eastAsia="黑体" w:cs="黑体"/>
            </w:rPr>
            <w:fldChar w:fldCharType="separate"/>
          </w:r>
          <w:r>
            <w:rPr>
              <w:rStyle w:val="24"/>
              <w:rFonts w:hint="eastAsia" w:ascii="黑体" w:hAnsi="黑体" w:eastAsia="黑体" w:cs="黑体"/>
              <w:bCs/>
              <w:color w:val="auto"/>
            </w:rPr>
            <w:t>4.10</w:t>
          </w:r>
          <w:r>
            <w:rPr>
              <w:rFonts w:hint="eastAsia" w:ascii="黑体" w:hAnsi="黑体" w:eastAsia="黑体" w:cs="黑体"/>
              <w:smallCaps w:val="0"/>
              <w:sz w:val="21"/>
              <w:szCs w:val="22"/>
            </w:rPr>
            <w:tab/>
          </w:r>
          <w:r>
            <w:rPr>
              <w:rStyle w:val="24"/>
              <w:rFonts w:hint="eastAsia" w:ascii="黑体" w:hAnsi="黑体" w:eastAsia="黑体" w:cs="黑体"/>
              <w:color w:val="auto"/>
            </w:rPr>
            <w:t>发泡企业管理要求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_Toc85809992 \h </w:instrText>
          </w:r>
          <w:r>
            <w:rPr>
              <w:rFonts w:hint="eastAsia" w:ascii="黑体" w:hAnsi="黑体" w:eastAsia="黑体" w:cs="黑体"/>
            </w:rPr>
            <w:fldChar w:fldCharType="separate"/>
          </w:r>
          <w:r>
            <w:rPr>
              <w:rFonts w:hint="eastAsia" w:ascii="黑体" w:hAnsi="黑体" w:eastAsia="黑体" w:cs="黑体"/>
            </w:rPr>
            <w:t>24</w:t>
          </w:r>
          <w:r>
            <w:rPr>
              <w:rFonts w:hint="eastAsia" w:ascii="黑体" w:hAnsi="黑体" w:eastAsia="黑体" w:cs="黑体"/>
            </w:rPr>
            <w:fldChar w:fldCharType="end"/>
          </w:r>
          <w:r>
            <w:rPr>
              <w:rFonts w:hint="eastAsia" w:ascii="黑体" w:hAnsi="黑体" w:eastAsia="黑体" w:cs="黑体"/>
            </w:rPr>
            <w:fldChar w:fldCharType="end"/>
          </w:r>
        </w:p>
        <w:p>
          <w:pPr>
            <w:pStyle w:val="16"/>
            <w:tabs>
              <w:tab w:val="left" w:pos="1050"/>
              <w:tab w:val="right" w:leader="dot" w:pos="9396"/>
            </w:tabs>
            <w:rPr>
              <w:rFonts w:hint="eastAsia" w:ascii="黑体" w:hAnsi="黑体" w:eastAsia="黑体" w:cs="黑体"/>
              <w:smallCaps w:val="0"/>
              <w:sz w:val="21"/>
              <w:szCs w:val="22"/>
            </w:rPr>
          </w:pPr>
          <w:r>
            <w:rPr>
              <w:rFonts w:hint="eastAsia" w:ascii="黑体" w:hAnsi="黑体" w:eastAsia="黑体" w:cs="黑体"/>
            </w:rPr>
            <w:fldChar w:fldCharType="begin"/>
          </w:r>
          <w:r>
            <w:rPr>
              <w:rFonts w:hint="eastAsia" w:ascii="黑体" w:hAnsi="黑体" w:eastAsia="黑体" w:cs="黑体"/>
            </w:rPr>
            <w:instrText xml:space="preserve"> HYPERLINK \l "_Toc85809993" </w:instrText>
          </w:r>
          <w:r>
            <w:rPr>
              <w:rFonts w:hint="eastAsia" w:ascii="黑体" w:hAnsi="黑体" w:eastAsia="黑体" w:cs="黑体"/>
            </w:rPr>
            <w:fldChar w:fldCharType="separate"/>
          </w:r>
          <w:r>
            <w:rPr>
              <w:rStyle w:val="24"/>
              <w:rFonts w:hint="eastAsia" w:ascii="黑体" w:hAnsi="黑体" w:eastAsia="黑体" w:cs="黑体"/>
              <w:bCs/>
              <w:color w:val="auto"/>
            </w:rPr>
            <w:t>4.11</w:t>
          </w:r>
          <w:r>
            <w:rPr>
              <w:rFonts w:hint="eastAsia" w:ascii="黑体" w:hAnsi="黑体" w:eastAsia="黑体" w:cs="黑体"/>
              <w:smallCaps w:val="0"/>
              <w:sz w:val="21"/>
              <w:szCs w:val="22"/>
            </w:rPr>
            <w:tab/>
          </w:r>
          <w:r>
            <w:rPr>
              <w:rStyle w:val="24"/>
              <w:rFonts w:hint="eastAsia" w:ascii="黑体" w:hAnsi="黑体" w:eastAsia="黑体" w:cs="黑体"/>
              <w:color w:val="auto"/>
            </w:rPr>
            <w:t>环氧乙烷灭菌企业管理要求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_Toc85809993 \h </w:instrText>
          </w:r>
          <w:r>
            <w:rPr>
              <w:rFonts w:hint="eastAsia" w:ascii="黑体" w:hAnsi="黑体" w:eastAsia="黑体" w:cs="黑体"/>
            </w:rPr>
            <w:fldChar w:fldCharType="separate"/>
          </w:r>
          <w:r>
            <w:rPr>
              <w:rFonts w:hint="eastAsia" w:ascii="黑体" w:hAnsi="黑体" w:eastAsia="黑体" w:cs="黑体"/>
            </w:rPr>
            <w:t>27</w:t>
          </w:r>
          <w:r>
            <w:rPr>
              <w:rFonts w:hint="eastAsia" w:ascii="黑体" w:hAnsi="黑体" w:eastAsia="黑体" w:cs="黑体"/>
            </w:rPr>
            <w:fldChar w:fldCharType="end"/>
          </w:r>
          <w:r>
            <w:rPr>
              <w:rFonts w:hint="eastAsia" w:ascii="黑体" w:hAnsi="黑体" w:eastAsia="黑体" w:cs="黑体"/>
            </w:rPr>
            <w:fldChar w:fldCharType="end"/>
          </w:r>
        </w:p>
        <w:p>
          <w:pPr>
            <w:pStyle w:val="16"/>
            <w:tabs>
              <w:tab w:val="left" w:pos="1050"/>
              <w:tab w:val="right" w:leader="dot" w:pos="9396"/>
            </w:tabs>
            <w:rPr>
              <w:rFonts w:cstheme="minorBidi"/>
              <w:smallCaps w:val="0"/>
              <w:sz w:val="21"/>
              <w:szCs w:val="22"/>
            </w:rPr>
          </w:pPr>
          <w:r>
            <w:rPr>
              <w:rFonts w:hint="eastAsia" w:ascii="黑体" w:hAnsi="黑体" w:eastAsia="黑体" w:cs="黑体"/>
            </w:rPr>
            <w:fldChar w:fldCharType="begin"/>
          </w:r>
          <w:r>
            <w:rPr>
              <w:rFonts w:hint="eastAsia" w:ascii="黑体" w:hAnsi="黑体" w:eastAsia="黑体" w:cs="黑体"/>
            </w:rPr>
            <w:instrText xml:space="preserve"> HYPERLINK \l "_Toc85809994" </w:instrText>
          </w:r>
          <w:r>
            <w:rPr>
              <w:rFonts w:hint="eastAsia" w:ascii="黑体" w:hAnsi="黑体" w:eastAsia="黑体" w:cs="黑体"/>
            </w:rPr>
            <w:fldChar w:fldCharType="separate"/>
          </w:r>
          <w:r>
            <w:rPr>
              <w:rStyle w:val="24"/>
              <w:rFonts w:hint="eastAsia" w:ascii="黑体" w:hAnsi="黑体" w:eastAsia="黑体" w:cs="黑体"/>
              <w:bCs/>
              <w:color w:val="auto"/>
            </w:rPr>
            <w:t>4.12</w:t>
          </w:r>
          <w:r>
            <w:rPr>
              <w:rFonts w:hint="eastAsia" w:ascii="黑体" w:hAnsi="黑体" w:eastAsia="黑体" w:cs="黑体"/>
              <w:smallCaps w:val="0"/>
              <w:sz w:val="21"/>
              <w:szCs w:val="22"/>
            </w:rPr>
            <w:tab/>
          </w:r>
          <w:r>
            <w:rPr>
              <w:rStyle w:val="24"/>
              <w:rFonts w:hint="eastAsia" w:ascii="黑体" w:hAnsi="黑体" w:eastAsia="黑体" w:cs="黑体"/>
              <w:color w:val="auto"/>
            </w:rPr>
            <w:t>使用钢瓶装气体进行焊接、切割等作业的企业管理要求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_Toc85809994 \h </w:instrText>
          </w:r>
          <w:r>
            <w:rPr>
              <w:rFonts w:hint="eastAsia" w:ascii="黑体" w:hAnsi="黑体" w:eastAsia="黑体" w:cs="黑体"/>
            </w:rPr>
            <w:fldChar w:fldCharType="separate"/>
          </w:r>
          <w:r>
            <w:rPr>
              <w:rFonts w:hint="eastAsia" w:ascii="黑体" w:hAnsi="黑体" w:eastAsia="黑体" w:cs="黑体"/>
            </w:rPr>
            <w:t>29</w:t>
          </w:r>
          <w:r>
            <w:rPr>
              <w:rFonts w:hint="eastAsia" w:ascii="黑体" w:hAnsi="黑体" w:eastAsia="黑体" w:cs="黑体"/>
            </w:rPr>
            <w:fldChar w:fldCharType="end"/>
          </w:r>
          <w:r>
            <w:rPr>
              <w:rFonts w:hint="eastAsia" w:ascii="黑体" w:hAnsi="黑体" w:eastAsia="黑体" w:cs="黑体"/>
            </w:rPr>
            <w:fldChar w:fldCharType="end"/>
          </w:r>
        </w:p>
        <w:p>
          <w:pPr>
            <w:pStyle w:val="16"/>
            <w:tabs>
              <w:tab w:val="right" w:leader="dot" w:pos="8296"/>
            </w:tabs>
            <w:spacing w:line="440" w:lineRule="exact"/>
            <w:ind w:left="0"/>
            <w:rPr>
              <w:rFonts w:ascii="Times New Roman" w:hAnsi="Times New Roman" w:cs="Times New Roman"/>
              <w:b/>
              <w:bCs/>
              <w:sz w:val="24"/>
              <w:szCs w:val="24"/>
              <w:lang w:val="zh-CN"/>
            </w:rPr>
          </w:pPr>
          <w:r>
            <w:rPr>
              <w:rFonts w:ascii="Times New Roman" w:hAnsi="Times New Roman" w:cs="Times New Roman"/>
              <w:bCs/>
              <w:sz w:val="24"/>
              <w:szCs w:val="24"/>
            </w:rPr>
            <w:fldChar w:fldCharType="end"/>
          </w:r>
        </w:p>
      </w:sdtContent>
    </w:sdt>
    <w:p>
      <w:pPr>
        <w:numPr>
          <w:ilvl w:val="0"/>
          <w:numId w:val="1"/>
        </w:numPr>
        <w:snapToGrid w:val="0"/>
        <w:spacing w:before="187" w:after="187"/>
        <w:ind w:left="425" w:hanging="425"/>
        <w:outlineLvl w:val="0"/>
        <w:rPr>
          <w:rFonts w:ascii="黑体" w:hAnsi="黑体" w:eastAsia="黑体"/>
          <w:sz w:val="28"/>
          <w:szCs w:val="28"/>
        </w:rPr>
        <w:sectPr>
          <w:footerReference r:id="rId5" w:type="default"/>
          <w:pgSz w:w="12240" w:h="15840"/>
          <w:pgMar w:top="1417" w:right="1417" w:bottom="1417" w:left="1417" w:header="851" w:footer="992" w:gutter="0"/>
          <w:pgNumType w:fmt="decimal" w:start="1"/>
          <w:cols w:space="425" w:num="1"/>
          <w:docGrid w:type="lines" w:linePitch="312" w:charSpace="0"/>
        </w:sectPr>
      </w:pPr>
    </w:p>
    <w:p>
      <w:pPr>
        <w:keepNext/>
        <w:numPr>
          <w:ilvl w:val="0"/>
          <w:numId w:val="1"/>
        </w:numPr>
        <w:snapToGrid w:val="0"/>
        <w:spacing w:before="187" w:after="187"/>
        <w:ind w:left="425" w:hanging="425"/>
        <w:outlineLvl w:val="0"/>
        <w:rPr>
          <w:rFonts w:ascii="黑体" w:hAnsi="黑体" w:eastAsia="黑体"/>
          <w:sz w:val="28"/>
          <w:szCs w:val="28"/>
        </w:rPr>
      </w:pPr>
      <w:bookmarkStart w:id="0" w:name="_Toc85809970"/>
      <w:r>
        <w:rPr>
          <w:rFonts w:ascii="黑体" w:hAnsi="黑体" w:eastAsia="黑体"/>
          <w:sz w:val="28"/>
          <w:szCs w:val="28"/>
        </w:rPr>
        <w:t>适用范围</w:t>
      </w:r>
      <w:bookmarkEnd w:id="0"/>
    </w:p>
    <w:p>
      <w:pPr>
        <w:snapToGrid w:val="0"/>
        <w:spacing w:line="360" w:lineRule="auto"/>
        <w:ind w:firstLine="560" w:firstLineChars="200"/>
        <w:rPr>
          <w:rFonts w:ascii="宋体" w:hAnsi="宋体" w:eastAsia="宋体"/>
          <w:sz w:val="28"/>
          <w:szCs w:val="28"/>
        </w:rPr>
      </w:pPr>
      <w:r>
        <w:rPr>
          <w:rFonts w:ascii="宋体" w:hAnsi="宋体" w:eastAsia="宋体"/>
          <w:sz w:val="28"/>
          <w:szCs w:val="28"/>
        </w:rPr>
        <w:t>本指南主要适用于《苏州市矿山、冶金等工矿企业危险化学品使用安全专项治理行动实施方案》内的工矿企业。</w:t>
      </w:r>
    </w:p>
    <w:p>
      <w:pPr>
        <w:snapToGrid w:val="0"/>
        <w:spacing w:line="360" w:lineRule="auto"/>
        <w:ind w:firstLine="560" w:firstLineChars="200"/>
        <w:rPr>
          <w:rFonts w:ascii="宋体" w:hAnsi="宋体" w:eastAsia="宋体"/>
          <w:sz w:val="28"/>
          <w:szCs w:val="28"/>
        </w:rPr>
      </w:pPr>
      <w:r>
        <w:rPr>
          <w:rFonts w:ascii="宋体" w:hAnsi="宋体" w:eastAsia="宋体"/>
          <w:sz w:val="28"/>
          <w:szCs w:val="28"/>
        </w:rPr>
        <w:t>矿山、冶金等工矿企业：具体指《应急管理部办公厅关于修订&lt;冶金有色建材机械轻工纺织烟草商贸行业安全监管分类标准（试行）&gt;的通知（应急厅〔2019〕17号）》中所涉及的冶金、有色、建材、机械、轻工、纺织、烟草等</w:t>
      </w:r>
      <w:r>
        <w:rPr>
          <w:rFonts w:hint="eastAsia" w:ascii="宋体" w:hAnsi="宋体" w:eastAsia="宋体"/>
          <w:sz w:val="28"/>
          <w:szCs w:val="28"/>
          <w:lang w:val="en-US" w:eastAsia="zh-CN"/>
        </w:rPr>
        <w:t>七</w:t>
      </w:r>
      <w:r>
        <w:rPr>
          <w:rFonts w:ascii="宋体" w:hAnsi="宋体" w:eastAsia="宋体"/>
          <w:sz w:val="28"/>
          <w:szCs w:val="28"/>
        </w:rPr>
        <w:t>个行业</w:t>
      </w:r>
      <w:r>
        <w:rPr>
          <w:rFonts w:hint="eastAsia" w:ascii="宋体" w:hAnsi="宋体" w:eastAsia="宋体"/>
          <w:sz w:val="28"/>
          <w:szCs w:val="28"/>
          <w:lang w:val="en-US" w:eastAsia="zh-CN"/>
        </w:rPr>
        <w:t>和</w:t>
      </w:r>
      <w:r>
        <w:rPr>
          <w:rFonts w:ascii="宋体" w:hAnsi="宋体" w:eastAsia="宋体"/>
          <w:sz w:val="28"/>
          <w:szCs w:val="28"/>
        </w:rPr>
        <w:t>矿山</w:t>
      </w:r>
      <w:r>
        <w:rPr>
          <w:rFonts w:hint="eastAsia" w:ascii="宋体" w:hAnsi="宋体" w:eastAsia="宋体"/>
          <w:sz w:val="28"/>
          <w:szCs w:val="28"/>
          <w:lang w:val="en-US" w:eastAsia="zh-CN"/>
        </w:rPr>
        <w:t>企业</w:t>
      </w:r>
      <w:r>
        <w:rPr>
          <w:rFonts w:ascii="宋体" w:hAnsi="宋体" w:eastAsia="宋体"/>
          <w:sz w:val="28"/>
          <w:szCs w:val="28"/>
        </w:rPr>
        <w:t>。</w:t>
      </w:r>
    </w:p>
    <w:p>
      <w:pPr>
        <w:keepNext/>
        <w:numPr>
          <w:ilvl w:val="0"/>
          <w:numId w:val="1"/>
        </w:numPr>
        <w:snapToGrid w:val="0"/>
        <w:spacing w:before="187" w:after="187"/>
        <w:ind w:left="425" w:hanging="425"/>
        <w:outlineLvl w:val="0"/>
        <w:rPr>
          <w:rFonts w:ascii="黑体" w:hAnsi="黑体" w:eastAsia="黑体"/>
          <w:sz w:val="28"/>
          <w:szCs w:val="28"/>
        </w:rPr>
      </w:pPr>
      <w:bookmarkStart w:id="1" w:name="_Toc85809971"/>
      <w:r>
        <w:rPr>
          <w:rFonts w:ascii="黑体" w:hAnsi="黑体" w:eastAsia="黑体"/>
          <w:sz w:val="28"/>
          <w:szCs w:val="28"/>
        </w:rPr>
        <w:t>规范性引用文件</w:t>
      </w:r>
      <w:bookmarkEnd w:id="1"/>
    </w:p>
    <w:p>
      <w:pPr>
        <w:snapToGrid w:val="0"/>
        <w:spacing w:line="360" w:lineRule="auto"/>
        <w:ind w:firstLine="560" w:firstLineChars="200"/>
        <w:rPr>
          <w:rFonts w:ascii="宋体" w:hAnsi="宋体" w:eastAsia="宋体"/>
          <w:sz w:val="28"/>
          <w:szCs w:val="28"/>
        </w:rPr>
      </w:pPr>
      <w:r>
        <w:rPr>
          <w:rFonts w:hint="eastAsia" w:ascii="宋体" w:hAnsi="宋体" w:eastAsia="宋体" w:cs="宋体"/>
          <w:sz w:val="28"/>
          <w:szCs w:val="28"/>
        </w:rPr>
        <w:t>凡是注日期的引用文件，仅注日期的版本适用于本文件。凡是不注日期的引用文件，其最新版本(包括所有的修改单)适用于本文件。</w:t>
      </w:r>
    </w:p>
    <w:p>
      <w:pPr>
        <w:keepNext/>
        <w:numPr>
          <w:ilvl w:val="0"/>
          <w:numId w:val="1"/>
        </w:numPr>
        <w:snapToGrid w:val="0"/>
        <w:spacing w:before="187" w:after="187"/>
        <w:ind w:left="425" w:hanging="425"/>
        <w:outlineLvl w:val="0"/>
        <w:rPr>
          <w:rFonts w:ascii="黑体" w:hAnsi="黑体" w:eastAsia="黑体"/>
          <w:sz w:val="28"/>
          <w:szCs w:val="28"/>
        </w:rPr>
      </w:pPr>
      <w:bookmarkStart w:id="2" w:name="_Toc85809972"/>
      <w:r>
        <w:rPr>
          <w:rFonts w:ascii="黑体" w:hAnsi="黑体" w:eastAsia="黑体"/>
          <w:sz w:val="28"/>
          <w:szCs w:val="28"/>
        </w:rPr>
        <w:t>危险化学品管理要求</w:t>
      </w:r>
      <w:bookmarkEnd w:id="2"/>
    </w:p>
    <w:p>
      <w:pPr>
        <w:keepNext/>
        <w:numPr>
          <w:ilvl w:val="1"/>
          <w:numId w:val="1"/>
        </w:numPr>
        <w:snapToGrid w:val="0"/>
        <w:spacing w:before="187" w:after="187"/>
        <w:ind w:left="993" w:hanging="352"/>
        <w:outlineLvl w:val="1"/>
        <w:rPr>
          <w:rFonts w:ascii="黑体" w:hAnsi="黑体" w:eastAsia="黑体"/>
          <w:sz w:val="28"/>
          <w:szCs w:val="28"/>
        </w:rPr>
      </w:pPr>
      <w:bookmarkStart w:id="3" w:name="_Toc85809973"/>
      <w:r>
        <w:rPr>
          <w:rFonts w:hint="eastAsia" w:ascii="黑体" w:hAnsi="黑体" w:eastAsia="黑体"/>
          <w:sz w:val="28"/>
          <w:szCs w:val="28"/>
        </w:rPr>
        <w:t>危险化学品</w:t>
      </w:r>
      <w:r>
        <w:rPr>
          <w:rFonts w:ascii="黑体" w:hAnsi="黑体" w:eastAsia="黑体"/>
          <w:sz w:val="28"/>
          <w:szCs w:val="28"/>
        </w:rPr>
        <w:t>通用要求</w:t>
      </w:r>
      <w:bookmarkEnd w:id="3"/>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重点监管危险化学品采取的应急处置措施应符合国家安全监管总局办公厅《关于印发首批重点监管的危险化学品安全措施和应急处置原则的通知》（安监总管三〔2011〕142号）和国家安全监管总局《关于公布第二批重点监管危险化学品名录的通知》（安监总管三〔2013〕12号）相关重点监管危险化学品的应急处置原则。</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特别管控危险化学品的管控措施应符合应急管理部 工业和信息化部 公安部 交通运输部公告（2020年 第1号）《特别管控危险化学品目录（第一版）》的管控措施要求。</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危险化学品使用和储存场所应符合《建筑设计防火规范》等相应规范标准的要求。</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危险化学品储存场所应安装建筑避雷装置、通风设施，根据物料使用和存放特性，设置防火、防爆、防静电、防腐、防毒、防渗漏等措施。</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危险化学品储存和作业场所应根据物料性质设置现场带声光的可燃/有毒气体检测报警仪，并与轴流排风装置联锁，可燃/有毒气体检测报警仪应定期检定。</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可燃或有毒的单组分气体泄漏浓度可能达到报警设定值的，应对应设置可燃气体或有毒气体探测器，其中可燃有毒的单组分气体应设有毒气体探测器；可燃气体与有毒气体同时存在的多组分混合气体，泄漏时可燃气体浓度和有毒气体浓度有可能同时达到报警设定值的，应分别设置可燃气体探测器和有毒气体探测器。</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可能突然泄漏大量有毒物品或者易造成急性中毒的作业场所，应设置自动报警装置和事故通风设施。通风设施的设计应至少满足《工业建筑供暖通风与空气调节设计规范》的要求。对可能突然放散大量有毒气体有爆炸危险气体的场所,应根据工艺设计要求设置事故通风系统。事故通风量宜根据工艺设计条件通过计算确定，且换气次数不应小于12次/h。</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爆炸危险区域的划分应按释放源级别和通风条件确定,存在连续级释放源的区域可划为0区，存在一级释放源的区域可划为1区，存在二级释放源的区域可划为2区,并应根据通风条件调整区域划分。爆炸性环境内电气设备保护级别的选择应符合下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311"/>
        <w:gridCol w:w="4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69" w:hRule="atLeast"/>
          <w:jc w:val="center"/>
        </w:trPr>
        <w:tc>
          <w:tcPr>
            <w:tcW w:w="2311" w:type="dxa"/>
            <w:tcBorders>
              <w:top w:val="single" w:color="000000" w:sz="8" w:space="0"/>
              <w:left w:val="single" w:color="000000" w:sz="8" w:space="0"/>
              <w:bottom w:val="single" w:color="000000" w:sz="8" w:space="0"/>
              <w:right w:val="single" w:color="000000" w:sz="8" w:space="0"/>
            </w:tcBorders>
            <w:vAlign w:val="center"/>
          </w:tcPr>
          <w:p>
            <w:pPr>
              <w:snapToGrid w:val="0"/>
              <w:spacing w:line="400" w:lineRule="exact"/>
              <w:jc w:val="center"/>
              <w:rPr>
                <w:rFonts w:ascii="黑体" w:hAnsi="黑体" w:eastAsia="黑体" w:cs="黑体"/>
                <w:sz w:val="28"/>
                <w:szCs w:val="28"/>
              </w:rPr>
            </w:pPr>
            <w:r>
              <w:rPr>
                <w:rFonts w:hint="eastAsia" w:ascii="黑体" w:hAnsi="黑体" w:eastAsia="黑体" w:cs="黑体"/>
                <w:sz w:val="28"/>
                <w:szCs w:val="28"/>
              </w:rPr>
              <w:t>危险区域</w:t>
            </w:r>
          </w:p>
        </w:tc>
        <w:tc>
          <w:tcPr>
            <w:tcW w:w="4019" w:type="dxa"/>
            <w:tcBorders>
              <w:top w:val="single" w:color="000000" w:sz="8" w:space="0"/>
              <w:left w:val="single" w:color="000000" w:sz="8" w:space="0"/>
              <w:bottom w:val="single" w:color="000000" w:sz="8" w:space="0"/>
              <w:right w:val="single" w:color="000000" w:sz="8" w:space="0"/>
            </w:tcBorders>
            <w:vAlign w:val="center"/>
          </w:tcPr>
          <w:p>
            <w:pPr>
              <w:snapToGrid w:val="0"/>
              <w:spacing w:line="400" w:lineRule="exact"/>
              <w:jc w:val="center"/>
              <w:rPr>
                <w:rFonts w:ascii="黑体" w:hAnsi="黑体" w:eastAsia="黑体" w:cs="黑体"/>
                <w:sz w:val="28"/>
                <w:szCs w:val="28"/>
              </w:rPr>
            </w:pPr>
            <w:r>
              <w:rPr>
                <w:rFonts w:hint="eastAsia" w:ascii="黑体" w:hAnsi="黑体" w:eastAsia="黑体" w:cs="黑体"/>
                <w:sz w:val="28"/>
                <w:szCs w:val="28"/>
              </w:rPr>
              <w:t>设备保护级别（EPL）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09" w:hRule="atLeast"/>
          <w:jc w:val="center"/>
        </w:trPr>
        <w:tc>
          <w:tcPr>
            <w:tcW w:w="2311" w:type="dxa"/>
            <w:tcBorders>
              <w:top w:val="single" w:color="000000" w:sz="8" w:space="0"/>
              <w:left w:val="single" w:color="000000" w:sz="8" w:space="0"/>
              <w:bottom w:val="single" w:color="000000" w:sz="8" w:space="0"/>
              <w:right w:val="single" w:color="000000" w:sz="8" w:space="0"/>
            </w:tcBorders>
            <w:vAlign w:val="center"/>
          </w:tcPr>
          <w:p>
            <w:pPr>
              <w:snapToGrid w:val="0"/>
              <w:spacing w:line="400" w:lineRule="exact"/>
              <w:jc w:val="center"/>
              <w:rPr>
                <w:rFonts w:ascii="宋体" w:hAnsi="宋体" w:eastAsia="宋体" w:cs="宋体"/>
                <w:sz w:val="28"/>
                <w:szCs w:val="28"/>
              </w:rPr>
            </w:pPr>
            <w:r>
              <w:rPr>
                <w:rFonts w:hint="eastAsia" w:ascii="宋体" w:hAnsi="宋体" w:eastAsia="宋体" w:cs="宋体"/>
                <w:sz w:val="28"/>
                <w:szCs w:val="28"/>
              </w:rPr>
              <w:t>0区</w:t>
            </w:r>
          </w:p>
        </w:tc>
        <w:tc>
          <w:tcPr>
            <w:tcW w:w="4019" w:type="dxa"/>
            <w:tcBorders>
              <w:top w:val="single" w:color="000000" w:sz="8" w:space="0"/>
              <w:left w:val="single" w:color="000000" w:sz="8" w:space="0"/>
              <w:bottom w:val="single" w:color="000000" w:sz="8" w:space="0"/>
              <w:right w:val="single" w:color="000000" w:sz="8" w:space="0"/>
            </w:tcBorders>
            <w:vAlign w:val="center"/>
          </w:tcPr>
          <w:p>
            <w:pPr>
              <w:snapToGrid w:val="0"/>
              <w:spacing w:line="400" w:lineRule="exact"/>
              <w:jc w:val="center"/>
              <w:rPr>
                <w:rFonts w:ascii="宋体" w:hAnsi="宋体" w:eastAsia="宋体" w:cs="宋体"/>
                <w:sz w:val="28"/>
                <w:szCs w:val="28"/>
              </w:rPr>
            </w:pPr>
            <w:r>
              <w:rPr>
                <w:rFonts w:hint="eastAsia" w:ascii="宋体" w:hAnsi="宋体" w:eastAsia="宋体" w:cs="宋体"/>
                <w:sz w:val="28"/>
                <w:szCs w:val="28"/>
              </w:rPr>
              <w:t>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25" w:hRule="atLeast"/>
          <w:jc w:val="center"/>
        </w:trPr>
        <w:tc>
          <w:tcPr>
            <w:tcW w:w="2311" w:type="dxa"/>
            <w:tcBorders>
              <w:top w:val="single" w:color="000000" w:sz="8" w:space="0"/>
              <w:left w:val="single" w:color="000000" w:sz="8" w:space="0"/>
              <w:bottom w:val="single" w:color="000000" w:sz="8" w:space="0"/>
              <w:right w:val="single" w:color="000000" w:sz="8" w:space="0"/>
            </w:tcBorders>
            <w:vAlign w:val="center"/>
          </w:tcPr>
          <w:p>
            <w:pPr>
              <w:snapToGrid w:val="0"/>
              <w:spacing w:line="400" w:lineRule="exact"/>
              <w:jc w:val="center"/>
              <w:rPr>
                <w:rFonts w:ascii="宋体" w:hAnsi="宋体" w:eastAsia="宋体" w:cs="宋体"/>
                <w:sz w:val="28"/>
                <w:szCs w:val="28"/>
              </w:rPr>
            </w:pPr>
            <w:r>
              <w:rPr>
                <w:rFonts w:hint="eastAsia" w:ascii="宋体" w:hAnsi="宋体" w:eastAsia="宋体" w:cs="宋体"/>
                <w:sz w:val="28"/>
                <w:szCs w:val="28"/>
              </w:rPr>
              <w:t>1区</w:t>
            </w:r>
          </w:p>
        </w:tc>
        <w:tc>
          <w:tcPr>
            <w:tcW w:w="4019" w:type="dxa"/>
            <w:tcBorders>
              <w:top w:val="single" w:color="000000" w:sz="8" w:space="0"/>
              <w:left w:val="single" w:color="000000" w:sz="8" w:space="0"/>
              <w:bottom w:val="single" w:color="000000" w:sz="8" w:space="0"/>
              <w:right w:val="single" w:color="000000" w:sz="8" w:space="0"/>
            </w:tcBorders>
            <w:vAlign w:val="center"/>
          </w:tcPr>
          <w:p>
            <w:pPr>
              <w:snapToGrid w:val="0"/>
              <w:spacing w:line="400" w:lineRule="exact"/>
              <w:jc w:val="center"/>
              <w:rPr>
                <w:rFonts w:ascii="宋体" w:hAnsi="宋体" w:eastAsia="宋体" w:cs="宋体"/>
                <w:sz w:val="28"/>
                <w:szCs w:val="28"/>
              </w:rPr>
            </w:pPr>
            <w:r>
              <w:rPr>
                <w:rFonts w:hint="eastAsia" w:ascii="宋体" w:hAnsi="宋体" w:eastAsia="宋体" w:cs="宋体"/>
                <w:sz w:val="28"/>
                <w:szCs w:val="28"/>
              </w:rPr>
              <w:t>Ga或Gb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15" w:hRule="atLeast"/>
          <w:jc w:val="center"/>
        </w:trPr>
        <w:tc>
          <w:tcPr>
            <w:tcW w:w="2311" w:type="dxa"/>
            <w:tcBorders>
              <w:top w:val="single" w:color="000000" w:sz="8" w:space="0"/>
              <w:left w:val="single" w:color="000000" w:sz="8" w:space="0"/>
              <w:bottom w:val="single" w:color="000000" w:sz="8" w:space="0"/>
              <w:right w:val="single" w:color="000000" w:sz="8" w:space="0"/>
            </w:tcBorders>
            <w:vAlign w:val="center"/>
          </w:tcPr>
          <w:p>
            <w:pPr>
              <w:snapToGrid w:val="0"/>
              <w:spacing w:line="400" w:lineRule="exact"/>
              <w:jc w:val="center"/>
              <w:rPr>
                <w:rFonts w:ascii="宋体" w:hAnsi="宋体" w:eastAsia="宋体" w:cs="宋体"/>
                <w:sz w:val="28"/>
                <w:szCs w:val="28"/>
              </w:rPr>
            </w:pPr>
            <w:r>
              <w:rPr>
                <w:rFonts w:hint="eastAsia" w:ascii="宋体" w:hAnsi="宋体" w:eastAsia="宋体" w:cs="宋体"/>
                <w:sz w:val="28"/>
                <w:szCs w:val="28"/>
              </w:rPr>
              <w:t>2区</w:t>
            </w:r>
          </w:p>
        </w:tc>
        <w:tc>
          <w:tcPr>
            <w:tcW w:w="4019" w:type="dxa"/>
            <w:tcBorders>
              <w:top w:val="single" w:color="000000" w:sz="8" w:space="0"/>
              <w:left w:val="single" w:color="000000" w:sz="8" w:space="0"/>
              <w:bottom w:val="single" w:color="000000" w:sz="8" w:space="0"/>
              <w:right w:val="single" w:color="000000" w:sz="8" w:space="0"/>
            </w:tcBorders>
            <w:vAlign w:val="center"/>
          </w:tcPr>
          <w:p>
            <w:pPr>
              <w:snapToGrid w:val="0"/>
              <w:spacing w:line="400" w:lineRule="exact"/>
              <w:jc w:val="center"/>
              <w:rPr>
                <w:rFonts w:ascii="宋体" w:hAnsi="宋体" w:eastAsia="宋体" w:cs="宋体"/>
                <w:sz w:val="28"/>
                <w:szCs w:val="28"/>
              </w:rPr>
            </w:pPr>
            <w:r>
              <w:rPr>
                <w:rFonts w:hint="eastAsia" w:ascii="宋体" w:hAnsi="宋体" w:eastAsia="宋体" w:cs="宋体"/>
                <w:sz w:val="28"/>
                <w:szCs w:val="28"/>
              </w:rPr>
              <w:t>Ga、Gb或Gc</w:t>
            </w:r>
          </w:p>
        </w:tc>
      </w:tr>
    </w:tbl>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气瓶安全附件应齐全、完好，定期检测合格，助燃气体和可燃气体气瓶不能混存，空瓶与满瓶分开储存，空瓶内气体应留有足够的余压。</w:t>
      </w:r>
      <w:r>
        <w:rPr>
          <w:rFonts w:ascii="宋体" w:hAnsi="宋体" w:eastAsia="宋体" w:cs="宋体"/>
          <w:sz w:val="28"/>
          <w:szCs w:val="28"/>
        </w:rPr>
        <w:t>钢瓶应直立储存，扣上钢瓶帽，并采取防倾倒措施。</w:t>
      </w:r>
      <w:r>
        <w:rPr>
          <w:rFonts w:hint="eastAsia" w:ascii="宋体" w:hAnsi="宋体" w:eastAsia="宋体" w:cs="宋体"/>
          <w:sz w:val="28"/>
          <w:szCs w:val="28"/>
        </w:rPr>
        <w:t>气瓶严禁横卧、加热、抛甩、滚翻、野蛮装卸等。</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汇流排间与生产车间毗连设置，毗连的墙应为无门、窗、洞的防火墙；乙炔汇流排间可与氧气汇流排间布置在耐火等级不低于二级的同一座建筑物内，但应以无门、窗、洞的防火墙隔开，每个汇流排设独立的安全出口，门应向外平开。</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储存易燃易爆介质的储罐，应配备高、低液位报警回路，必要时还应配有液位与相关工艺参数之间的联锁系统。</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对于储存易燃易爆介质的有压储罐，应设置压力检测仪表。若罐内介质属于《石油化工企业设计防火标准》中的甲类物料，还应配压力报警系统，必要时宜设报警联锁系统。</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易燃、易爆、</w:t>
      </w:r>
      <w:r>
        <w:rPr>
          <w:rFonts w:ascii="宋体" w:hAnsi="宋体" w:eastAsia="宋体" w:cs="宋体"/>
          <w:sz w:val="28"/>
          <w:szCs w:val="28"/>
        </w:rPr>
        <w:t>有毒和产生刺激性气体的危险化学品储罐区应在</w:t>
      </w:r>
      <w:r>
        <w:rPr>
          <w:rFonts w:hint="eastAsia" w:ascii="宋体" w:hAnsi="宋体" w:eastAsia="宋体" w:cs="宋体"/>
          <w:sz w:val="28"/>
          <w:szCs w:val="28"/>
        </w:rPr>
        <w:t>厂区</w:t>
      </w:r>
      <w:r>
        <w:rPr>
          <w:rFonts w:ascii="宋体" w:hAnsi="宋体" w:eastAsia="宋体" w:cs="宋体"/>
          <w:sz w:val="28"/>
          <w:szCs w:val="28"/>
        </w:rPr>
        <w:t>显著位置设置风向标</w:t>
      </w:r>
      <w:r>
        <w:rPr>
          <w:rFonts w:hint="eastAsia" w:ascii="宋体" w:hAnsi="宋体" w:eastAsia="宋体" w:cs="宋体"/>
          <w:sz w:val="28"/>
          <w:szCs w:val="28"/>
        </w:rPr>
        <w:t>。</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危险化学品储存应符合《常用化学危险品贮存通则》、《仓储场所消防安全管理通则》等的要求。</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作业现场危险化学品存放量不得超过当班使用量。</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用于危险化学品使用的设备、设施，应符合相关规范的要求，其工艺应确保安全性。</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危险化学品使用和储存场所应设置安全警示标志、安全周知卡和应急处置卡。作业场所应按要求放置安全操作规程。</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危险化学品作业场所员工作业时应穿戴相应的劳动防护用品（防护眼镜、防毒面具、防静电服、防腐服等）。</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严禁一切火种和火源进入有火灾风险的危险区域，如：吸烟和穿戴能产生静电的服装和有铁钉的鞋子，以及使用喷灯、电焊、气割、电动工具；使用铁制工具和能碰撞产生火花的物品，使用高频设备和电磁场很强的设备；使用手机、对讲机等通讯工具；使用摇表测量绝缘电阻和接地电阻等。</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企业应当制定本单位危险化学品事故专项应急预案（或现场处置方案），配备应急救援人员和必要的应急救援器材、设备，并定期组织应急预案演练。</w:t>
      </w:r>
    </w:p>
    <w:p>
      <w:pPr>
        <w:keepNext/>
        <w:numPr>
          <w:ilvl w:val="1"/>
          <w:numId w:val="1"/>
        </w:numPr>
        <w:snapToGrid w:val="0"/>
        <w:spacing w:before="187" w:after="187"/>
        <w:ind w:left="993" w:hanging="352"/>
        <w:outlineLvl w:val="1"/>
        <w:rPr>
          <w:rFonts w:ascii="黑体" w:hAnsi="黑体" w:eastAsia="黑体"/>
          <w:sz w:val="28"/>
          <w:szCs w:val="28"/>
        </w:rPr>
      </w:pPr>
      <w:bookmarkStart w:id="4" w:name="_Toc85809974"/>
      <w:r>
        <w:rPr>
          <w:rFonts w:ascii="黑体" w:hAnsi="黑体" w:eastAsia="黑体"/>
          <w:sz w:val="28"/>
          <w:szCs w:val="28"/>
        </w:rPr>
        <w:t>燃爆性危险化学品</w:t>
      </w:r>
      <w:r>
        <w:rPr>
          <w:rFonts w:hint="eastAsia" w:ascii="黑体" w:hAnsi="黑体" w:eastAsia="黑体"/>
          <w:sz w:val="28"/>
          <w:szCs w:val="28"/>
        </w:rPr>
        <w:t>一般</w:t>
      </w:r>
      <w:r>
        <w:rPr>
          <w:rFonts w:ascii="黑体" w:hAnsi="黑体" w:eastAsia="黑体"/>
          <w:sz w:val="28"/>
          <w:szCs w:val="28"/>
        </w:rPr>
        <w:t>要求</w:t>
      </w:r>
      <w:bookmarkEnd w:id="4"/>
    </w:p>
    <w:p>
      <w:pPr>
        <w:numPr>
          <w:ilvl w:val="2"/>
          <w:numId w:val="1"/>
        </w:numPr>
        <w:snapToGrid w:val="0"/>
        <w:spacing w:line="360" w:lineRule="auto"/>
        <w:ind w:left="829" w:hanging="199"/>
        <w:outlineLvl w:val="2"/>
        <w:rPr>
          <w:rFonts w:ascii="黑体" w:hAnsi="黑体" w:eastAsia="黑体"/>
          <w:sz w:val="28"/>
          <w:szCs w:val="28"/>
        </w:rPr>
      </w:pPr>
      <w:bookmarkStart w:id="5" w:name="_Toc85809975"/>
      <w:r>
        <w:rPr>
          <w:rFonts w:ascii="黑体" w:hAnsi="黑体" w:eastAsia="黑体"/>
          <w:sz w:val="28"/>
          <w:szCs w:val="28"/>
        </w:rPr>
        <w:t>保险粉、电石等固体类有燃爆风险的危险化学品使用储存要求</w:t>
      </w:r>
      <w:bookmarkEnd w:id="5"/>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保险粉等固体类危险化学品应设专库或库内专柜储存。储存场所在通风装置等电气应防爆，还应设置防潮堆垫、防浸渍、降温等设施，必要时用氮气保护。储存场所的门窗洞口应设置防止雨水进入的措施。</w:t>
      </w:r>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储存和使用场所可根据危险化学品特性安装可燃气体检测仪，特殊情况的还需增设有毒气体检测仪。</w:t>
      </w:r>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储存场所内应设温湿度计并每日记录。梅雨季节等湿度较大的时段，宜加强防潮除湿措施。</w:t>
      </w:r>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保险粉宜采用密闭桶装包装。储存过程中，最外层包装应选择使用金属制造的包装物（容器）。</w:t>
      </w:r>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保险粉禁止与高锰酸钾等强氧化剂、酸类、易燃品混放；电石禁止与水、醇类、酸类物品混放。</w:t>
      </w:r>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保险粉使用后的外包装不得直接加压、切割、焊接、钻孔，或者接触热源、火花、火焰、静电等引燃源，避免发生火灾、爆炸。</w:t>
      </w:r>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发生火情时使用干粉、二氧化碳灭火剂或砂土等合宜的方式灭火，禁止用水灭火。</w:t>
      </w:r>
    </w:p>
    <w:p>
      <w:pPr>
        <w:numPr>
          <w:ilvl w:val="2"/>
          <w:numId w:val="1"/>
        </w:numPr>
        <w:snapToGrid w:val="0"/>
        <w:spacing w:line="360" w:lineRule="auto"/>
        <w:ind w:left="829" w:hanging="199"/>
        <w:outlineLvl w:val="2"/>
        <w:rPr>
          <w:rFonts w:ascii="黑体" w:hAnsi="黑体" w:eastAsia="黑体"/>
          <w:sz w:val="28"/>
          <w:szCs w:val="28"/>
        </w:rPr>
      </w:pPr>
      <w:bookmarkStart w:id="6" w:name="_Toc85809976"/>
      <w:r>
        <w:rPr>
          <w:rFonts w:ascii="黑体" w:hAnsi="黑体" w:eastAsia="黑体"/>
          <w:sz w:val="28"/>
          <w:szCs w:val="28"/>
        </w:rPr>
        <w:t>乙醇、乙酸乙酯、丙酮、甲醇、甲苯等易燃液体类危险化学品使用储存要求</w:t>
      </w:r>
      <w:bookmarkEnd w:id="6"/>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作业和储存场所使用的电气、照明均应防爆外，配电箱及开关应设置在储存场所外。</w:t>
      </w:r>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作业和储存场所应有可靠的静电接地，储存场所入口外侧应设置人体静电释放装置，必要情况下进入危险区域人员需采取穿戴静电服、静电手环等有效静电消除措施。</w:t>
      </w:r>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危险区域内宜采用有色（铜、铝等金属）、木质等工具。禁止使用塑料油抽。</w:t>
      </w:r>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储存场所有良好的隔热、降温、通风措施，库内设置温湿度计宜每日记录。</w:t>
      </w:r>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在储存场所设置防止液体流散的门槛或围堰等防流散措施，可设置视频监控或液体泄漏监测装置来提高防控大规模泄漏的处置能力。</w:t>
      </w:r>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储存易燃易爆液体储罐必须配置液位检测仪表，同一储罐至少配备两种不同类别的液位检测仪表。</w:t>
      </w:r>
    </w:p>
    <w:p>
      <w:pPr>
        <w:numPr>
          <w:ilvl w:val="2"/>
          <w:numId w:val="1"/>
        </w:numPr>
        <w:snapToGrid w:val="0"/>
        <w:spacing w:line="360" w:lineRule="auto"/>
        <w:ind w:left="829" w:hanging="199"/>
        <w:outlineLvl w:val="2"/>
        <w:rPr>
          <w:rFonts w:ascii="黑体" w:hAnsi="黑体" w:eastAsia="黑体"/>
          <w:sz w:val="28"/>
          <w:szCs w:val="28"/>
        </w:rPr>
      </w:pPr>
      <w:bookmarkStart w:id="7" w:name="_Toc85809977"/>
      <w:r>
        <w:rPr>
          <w:rFonts w:ascii="黑体" w:hAnsi="黑体" w:eastAsia="黑体"/>
          <w:sz w:val="28"/>
          <w:szCs w:val="28"/>
        </w:rPr>
        <w:t>乙炔、天然气、氢气、液化石油气等易燃气体类危险化学品使用储存要求</w:t>
      </w:r>
      <w:bookmarkEnd w:id="7"/>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乙炔、天然气、氢气、液化石油气等易燃气体的气体站，应严格执行《氢气站设计规范》、《城镇燃气设计规范》、《液化石油气供应工程设计规范》等规范要求。</w:t>
      </w:r>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汇流排的设计、安装必须符合有关标准规程的要求。汇流排系统必须合理地设置回火保险器、气阀、逆止阀、减压器、滤清器、事故排放管等。</w:t>
      </w:r>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汇流排连接金属软管应防腐耐压且不宜过长，汇流排按规定仅使用一种介质，采用无缝钢管，并设减压阀、止逆阀、安全阀。</w:t>
      </w:r>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易燃易爆气体汇流排间应远离高温区和明火点，空气流量应能使可燃物质很快稀释到爆炸</w:t>
      </w:r>
      <w:r>
        <w:rPr>
          <w:rFonts w:ascii="宋体" w:hAnsi="宋体" w:eastAsia="宋体" w:cs="宋体"/>
          <w:sz w:val="28"/>
          <w:szCs w:val="28"/>
        </w:rPr>
        <w:t>下限值的25%</w:t>
      </w:r>
      <w:r>
        <w:rPr>
          <w:rFonts w:hint="eastAsia" w:ascii="宋体" w:hAnsi="宋体" w:eastAsia="宋体" w:cs="宋体"/>
          <w:sz w:val="28"/>
          <w:szCs w:val="28"/>
        </w:rPr>
        <w:t>以确保通风良好，电气装置应防爆，可燃气体报警装置应和机械排风装置联锁。</w:t>
      </w:r>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天然气（煤气）加热炉燃烧器操作部位须设置可燃气体泄漏报警和联锁切断装置，燃烧系统要设置防突然熄火或点火失败的安全装置。</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距散发比空气重的可燃气体设备30m以内的管沟应采取防止可燃气体窜入和积聚的措施。</w:t>
      </w:r>
    </w:p>
    <w:p>
      <w:pPr>
        <w:numPr>
          <w:ilvl w:val="2"/>
          <w:numId w:val="1"/>
        </w:numPr>
        <w:snapToGrid w:val="0"/>
        <w:spacing w:line="360" w:lineRule="auto"/>
        <w:ind w:left="829" w:hanging="199"/>
        <w:outlineLvl w:val="2"/>
        <w:rPr>
          <w:rFonts w:ascii="黑体" w:hAnsi="黑体" w:eastAsia="黑体"/>
          <w:sz w:val="28"/>
          <w:szCs w:val="28"/>
        </w:rPr>
      </w:pPr>
      <w:bookmarkStart w:id="8" w:name="_Toc85809978"/>
      <w:r>
        <w:rPr>
          <w:rFonts w:ascii="黑体" w:hAnsi="黑体" w:eastAsia="黑体"/>
          <w:sz w:val="28"/>
          <w:szCs w:val="28"/>
        </w:rPr>
        <w:t>炸药等爆炸物类危险化学品使用储存要求</w:t>
      </w:r>
      <w:bookmarkEnd w:id="8"/>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爆炸物品的使用和储存应满足《民用爆炸物品安全管理条例》的要求。</w:t>
      </w:r>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爆炸物品应当储存在专用仓库内，并按照国家规定设置技术防范设施。</w:t>
      </w:r>
    </w:p>
    <w:p>
      <w:pPr>
        <w:numPr>
          <w:ilvl w:val="3"/>
          <w:numId w:val="1"/>
        </w:numPr>
        <w:snapToGrid w:val="0"/>
        <w:spacing w:line="360" w:lineRule="auto"/>
        <w:ind w:left="1256" w:leftChars="304" w:hanging="618" w:hangingChars="221"/>
        <w:rPr>
          <w:rFonts w:ascii="宋体" w:hAnsi="宋体" w:eastAsia="宋体" w:cs="宋体"/>
          <w:sz w:val="28"/>
          <w:szCs w:val="28"/>
        </w:rPr>
      </w:pPr>
      <w:r>
        <w:rPr>
          <w:rFonts w:hint="eastAsia" w:ascii="宋体" w:hAnsi="宋体" w:eastAsia="宋体" w:cs="宋体"/>
          <w:sz w:val="28"/>
          <w:szCs w:val="28"/>
        </w:rPr>
        <w:t>储存爆炸物品应当遵守下列规定：</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——建立出入库检查、登记制度，收存和发放民用爆炸物品必须进行登记，做到账目清楚，账物相符；</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——储存的民用爆炸物品数量不得超过储存设计容量，对性质相抵触的民用爆炸物品必须分库储存，严禁在库房内存放其他物品；</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——专用仓库应当指定专人管理、看护，严禁无关人员进入仓库区内，严禁在仓库区内吸烟和用火，严禁把其他容易引起燃烧、爆炸的物品带入仓库区内，严禁在库房内住宿和进行其他活动。</w:t>
      </w:r>
    </w:p>
    <w:p>
      <w:pPr>
        <w:numPr>
          <w:ilvl w:val="3"/>
          <w:numId w:val="1"/>
        </w:numPr>
        <w:snapToGrid w:val="0"/>
        <w:spacing w:line="360" w:lineRule="auto"/>
        <w:ind w:left="1256" w:leftChars="304" w:hanging="618" w:hangingChars="221"/>
        <w:rPr>
          <w:rFonts w:ascii="宋体" w:hAnsi="宋体" w:eastAsia="宋体" w:cs="宋体"/>
          <w:sz w:val="28"/>
          <w:szCs w:val="28"/>
        </w:rPr>
      </w:pPr>
      <w:r>
        <w:rPr>
          <w:rFonts w:hint="eastAsia" w:ascii="宋体" w:hAnsi="宋体" w:eastAsia="宋体" w:cs="宋体"/>
          <w:sz w:val="28"/>
          <w:szCs w:val="28"/>
        </w:rPr>
        <w:t>爆破作业场所有下列情形之一时，不应进行爆破作业：</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——距工作面20m以内的风流中瓦斯含量达到1%或有瓦斯突出征兆的；</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——爆破会造成巷道涌水、堤坝漏水、河床严重阻塞、泉水变迁的；</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——岩体有冒顶或边坡滑落危险的；</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——硐室、炮孔温度异常的；</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——地下爆破作业区的有害气体浓度超过规定的；</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——爆破可能危及建(构)筑物、公共设施或人员的安全而无有效防护措施的；</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——作业通道不安全或堵塞的；</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——支护规格与支护说明书的规定不符或工作面支护损坏的；</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——危险区边界未设警戒的；</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——光线不足且无照明或照明不符合规定的；</w:t>
      </w:r>
    </w:p>
    <w:p>
      <w:pPr>
        <w:snapToGrid w:val="0"/>
        <w:spacing w:line="360" w:lineRule="auto"/>
        <w:ind w:firstLine="560" w:firstLineChars="200"/>
        <w:rPr>
          <w:rFonts w:ascii="仿宋" w:hAnsi="仿宋" w:eastAsia="仿宋"/>
          <w:sz w:val="28"/>
          <w:szCs w:val="28"/>
        </w:rPr>
      </w:pPr>
      <w:r>
        <w:rPr>
          <w:rFonts w:hint="eastAsia" w:ascii="宋体" w:hAnsi="宋体" w:eastAsia="宋体" w:cs="宋体"/>
          <w:sz w:val="28"/>
          <w:szCs w:val="28"/>
        </w:rPr>
        <w:t>——未按《爆破安全规程》的要求作好准备工作的。</w:t>
      </w:r>
    </w:p>
    <w:p>
      <w:pPr>
        <w:keepNext/>
        <w:numPr>
          <w:ilvl w:val="1"/>
          <w:numId w:val="1"/>
        </w:numPr>
        <w:snapToGrid w:val="0"/>
        <w:spacing w:before="187" w:after="187"/>
        <w:ind w:left="993" w:hanging="352"/>
        <w:outlineLvl w:val="1"/>
        <w:rPr>
          <w:rFonts w:ascii="黑体" w:hAnsi="黑体" w:eastAsia="黑体"/>
          <w:sz w:val="28"/>
          <w:szCs w:val="28"/>
        </w:rPr>
      </w:pPr>
      <w:bookmarkStart w:id="9" w:name="_Toc85809979"/>
      <w:r>
        <w:rPr>
          <w:rFonts w:hint="eastAsia" w:ascii="黑体" w:hAnsi="黑体" w:eastAsia="黑体"/>
          <w:sz w:val="28"/>
          <w:szCs w:val="28"/>
        </w:rPr>
        <w:t>毒害性危险化学品一般要求</w:t>
      </w:r>
      <w:bookmarkEnd w:id="9"/>
    </w:p>
    <w:p>
      <w:pPr>
        <w:numPr>
          <w:ilvl w:val="2"/>
          <w:numId w:val="1"/>
        </w:numPr>
        <w:snapToGrid w:val="0"/>
        <w:spacing w:line="360" w:lineRule="auto"/>
        <w:ind w:left="829" w:hanging="199"/>
        <w:outlineLvl w:val="2"/>
        <w:rPr>
          <w:rFonts w:ascii="黑体" w:hAnsi="黑体" w:eastAsia="黑体"/>
          <w:sz w:val="28"/>
          <w:szCs w:val="28"/>
        </w:rPr>
      </w:pPr>
      <w:bookmarkStart w:id="10" w:name="_Toc85809980"/>
      <w:r>
        <w:rPr>
          <w:rFonts w:ascii="黑体" w:hAnsi="黑体" w:eastAsia="黑体"/>
          <w:sz w:val="28"/>
          <w:szCs w:val="28"/>
        </w:rPr>
        <w:t>氯气、氰化钾、氰化钠等剧毒类危险化学品使用储存要求</w:t>
      </w:r>
      <w:bookmarkEnd w:id="10"/>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使用储存场所应按规定设置有毒气体报警仪。使用、储存氯气、氰化钠、氰化钾等剧毒品物质场所应设置监控装置。</w:t>
      </w:r>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氰化钾等氰化物应专库储存，严禁与硫酸、盐酸等酸性物品共存。</w:t>
      </w:r>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氯气使用存储应符合</w:t>
      </w:r>
      <w:r>
        <w:rPr>
          <w:rFonts w:ascii="宋体" w:hAnsi="宋体" w:eastAsia="宋体" w:cs="宋体"/>
          <w:sz w:val="28"/>
          <w:szCs w:val="28"/>
        </w:rPr>
        <w:t>《氯气安全规程》</w:t>
      </w:r>
      <w:r>
        <w:rPr>
          <w:rFonts w:hint="eastAsia" w:ascii="宋体" w:hAnsi="宋体" w:eastAsia="宋体" w:cs="宋体"/>
          <w:sz w:val="28"/>
          <w:szCs w:val="28"/>
        </w:rPr>
        <w:t>要求。</w:t>
      </w:r>
    </w:p>
    <w:p>
      <w:pPr>
        <w:numPr>
          <w:ilvl w:val="2"/>
          <w:numId w:val="1"/>
        </w:numPr>
        <w:snapToGrid w:val="0"/>
        <w:spacing w:line="360" w:lineRule="auto"/>
        <w:ind w:left="829" w:hanging="199"/>
        <w:outlineLvl w:val="2"/>
        <w:rPr>
          <w:rFonts w:ascii="黑体" w:hAnsi="黑体" w:eastAsia="黑体"/>
          <w:sz w:val="28"/>
          <w:szCs w:val="28"/>
        </w:rPr>
      </w:pPr>
      <w:bookmarkStart w:id="11" w:name="_Toc85809981"/>
      <w:r>
        <w:rPr>
          <w:rFonts w:ascii="黑体" w:hAnsi="黑体" w:eastAsia="黑体"/>
          <w:sz w:val="28"/>
          <w:szCs w:val="28"/>
        </w:rPr>
        <w:t>氨等高毒类危险化学品使用储存要求</w:t>
      </w:r>
      <w:bookmarkEnd w:id="11"/>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酒、饮料和精制茶制造业禁止使用液氨作为冷冻剂。</w:t>
      </w:r>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高毒作业场所需设置应急撤离通道和必要的泄险区。</w:t>
      </w:r>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ascii="宋体" w:hAnsi="宋体" w:eastAsia="宋体" w:cs="宋体"/>
          <w:sz w:val="28"/>
          <w:szCs w:val="28"/>
        </w:rPr>
        <w:t>在高毒物品的设备、容器或者狭窄封闭场所作业时，用人单位应当设置现场监护人员和现场救援设备。</w:t>
      </w:r>
    </w:p>
    <w:p>
      <w:pPr>
        <w:keepNext/>
        <w:numPr>
          <w:ilvl w:val="1"/>
          <w:numId w:val="1"/>
        </w:numPr>
        <w:snapToGrid w:val="0"/>
        <w:spacing w:before="187" w:after="187"/>
        <w:ind w:left="993" w:hanging="352"/>
        <w:outlineLvl w:val="1"/>
        <w:rPr>
          <w:rFonts w:ascii="黑体" w:hAnsi="黑体" w:eastAsia="黑体"/>
          <w:sz w:val="28"/>
          <w:szCs w:val="28"/>
        </w:rPr>
      </w:pPr>
      <w:r>
        <w:rPr>
          <w:rFonts w:hint="eastAsia" w:ascii="黑体" w:hAnsi="黑体" w:eastAsia="黑体" w:cs="黑体"/>
          <w:sz w:val="28"/>
          <w:szCs w:val="28"/>
          <w:lang w:eastAsia="zh-CN"/>
        </w:rPr>
        <w:t>腐蚀性</w:t>
      </w:r>
      <w:r>
        <w:rPr>
          <w:rFonts w:hint="eastAsia" w:ascii="黑体" w:hAnsi="黑体" w:eastAsia="黑体"/>
          <w:sz w:val="28"/>
          <w:szCs w:val="28"/>
        </w:rPr>
        <w:t>危险化学品一般要求</w:t>
      </w:r>
    </w:p>
    <w:p>
      <w:pPr>
        <w:numPr>
          <w:ilvl w:val="2"/>
          <w:numId w:val="1"/>
        </w:numPr>
        <w:snapToGrid w:val="0"/>
        <w:spacing w:line="360" w:lineRule="auto"/>
        <w:ind w:left="829" w:hanging="199"/>
        <w:outlineLvl w:val="2"/>
        <w:rPr>
          <w:rFonts w:hint="eastAsia" w:ascii="黑体" w:hAnsi="黑体" w:eastAsia="黑体"/>
          <w:sz w:val="28"/>
          <w:szCs w:val="28"/>
          <w:lang w:val="en-US" w:eastAsia="zh-CN"/>
        </w:rPr>
      </w:pPr>
      <w:r>
        <w:rPr>
          <w:rFonts w:hint="eastAsia" w:ascii="黑体" w:hAnsi="黑体" w:eastAsia="黑体"/>
          <w:sz w:val="28"/>
          <w:szCs w:val="28"/>
          <w:lang w:val="en-US" w:eastAsia="zh-CN"/>
        </w:rPr>
        <w:t>氢氧化钠、硫酸、盐酸等腐蚀性非气态类</w:t>
      </w:r>
      <w:r>
        <w:rPr>
          <w:rFonts w:ascii="黑体" w:hAnsi="黑体" w:eastAsia="黑体"/>
          <w:sz w:val="28"/>
          <w:szCs w:val="28"/>
        </w:rPr>
        <w:t>危险化学品</w:t>
      </w:r>
      <w:r>
        <w:rPr>
          <w:rFonts w:hint="eastAsia" w:ascii="黑体" w:hAnsi="黑体" w:eastAsia="黑体"/>
          <w:sz w:val="28"/>
          <w:szCs w:val="28"/>
          <w:lang w:val="en-US" w:eastAsia="zh-CN"/>
        </w:rPr>
        <w:t>使用储存要求</w:t>
      </w:r>
    </w:p>
    <w:p>
      <w:pPr>
        <w:numPr>
          <w:ilvl w:val="3"/>
          <w:numId w:val="1"/>
        </w:numPr>
        <w:snapToGrid w:val="0"/>
        <w:spacing w:line="360" w:lineRule="auto"/>
        <w:ind w:left="15" w:leftChars="7" w:firstLine="621" w:firstLineChars="222"/>
        <w:rPr>
          <w:rFonts w:hint="eastAsia" w:ascii="宋体" w:hAnsi="宋体" w:eastAsia="宋体" w:cs="宋体"/>
          <w:sz w:val="28"/>
          <w:szCs w:val="28"/>
        </w:rPr>
      </w:pPr>
      <w:r>
        <w:rPr>
          <w:rFonts w:hint="eastAsia" w:ascii="宋体" w:hAnsi="宋体" w:eastAsia="宋体" w:cs="宋体"/>
          <w:sz w:val="28"/>
          <w:szCs w:val="28"/>
          <w:lang w:val="en-US" w:eastAsia="zh-CN"/>
        </w:rPr>
        <w:t>存储库内应设置温湿度计，按时观测、记录。根据库房条件和商品性质，应采用机械(要有防腐等防护措施）方法通风、去湿、保温。温湿度应符合</w:t>
      </w:r>
      <w:r>
        <w:rPr>
          <w:rFonts w:hint="eastAsia" w:ascii="宋体" w:hAnsi="宋体" w:eastAsia="宋体" w:cs="宋体"/>
          <w:sz w:val="28"/>
          <w:szCs w:val="28"/>
        </w:rPr>
        <w:t>《腐蚀性商品储存养护技术条件》</w:t>
      </w:r>
      <w:r>
        <w:rPr>
          <w:rFonts w:hint="eastAsia" w:ascii="宋体" w:hAnsi="宋体" w:eastAsia="宋体" w:cs="宋体"/>
          <w:sz w:val="28"/>
          <w:szCs w:val="28"/>
          <w:lang w:val="en-US" w:eastAsia="zh-CN"/>
        </w:rPr>
        <w:t>的规定。</w:t>
      </w:r>
      <w:r>
        <w:rPr>
          <w:rFonts w:hint="eastAsia" w:ascii="宋体" w:hAnsi="宋体" w:eastAsia="宋体" w:cs="宋体"/>
          <w:sz w:val="28"/>
          <w:szCs w:val="28"/>
        </w:rPr>
        <w:t>腐蚀性危险化学品</w:t>
      </w:r>
      <w:r>
        <w:rPr>
          <w:rFonts w:hint="eastAsia" w:ascii="宋体" w:hAnsi="宋体" w:eastAsia="宋体" w:cs="宋体"/>
          <w:sz w:val="28"/>
          <w:szCs w:val="28"/>
          <w:lang w:val="en-US" w:eastAsia="zh-CN"/>
        </w:rPr>
        <w:t>使用</w:t>
      </w:r>
      <w:r>
        <w:rPr>
          <w:rFonts w:hint="eastAsia" w:ascii="宋体" w:hAnsi="宋体" w:eastAsia="宋体" w:cs="宋体"/>
          <w:sz w:val="28"/>
          <w:szCs w:val="28"/>
        </w:rPr>
        <w:t>货棚</w:t>
      </w:r>
      <w:r>
        <w:rPr>
          <w:rFonts w:hint="eastAsia" w:ascii="宋体" w:hAnsi="宋体" w:eastAsia="宋体" w:cs="宋体"/>
          <w:sz w:val="28"/>
          <w:szCs w:val="28"/>
          <w:lang w:val="en-US" w:eastAsia="zh-CN"/>
        </w:rPr>
        <w:t>和</w:t>
      </w:r>
      <w:r>
        <w:rPr>
          <w:rFonts w:hint="eastAsia" w:ascii="宋体" w:hAnsi="宋体" w:eastAsia="宋体" w:cs="宋体"/>
          <w:sz w:val="28"/>
          <w:szCs w:val="28"/>
        </w:rPr>
        <w:t>露天货场</w:t>
      </w:r>
      <w:r>
        <w:rPr>
          <w:rFonts w:hint="eastAsia" w:ascii="宋体" w:hAnsi="宋体" w:eastAsia="宋体" w:cs="宋体"/>
          <w:sz w:val="28"/>
          <w:szCs w:val="28"/>
          <w:lang w:val="en-US" w:eastAsia="zh-CN"/>
        </w:rPr>
        <w:t>的，</w:t>
      </w:r>
      <w:r>
        <w:rPr>
          <w:rFonts w:hint="eastAsia" w:ascii="宋体" w:hAnsi="宋体" w:eastAsia="宋体" w:cs="宋体"/>
          <w:sz w:val="28"/>
          <w:szCs w:val="28"/>
        </w:rPr>
        <w:t>货棚应干燥卫生，露天货场应防潮防水。</w:t>
      </w:r>
    </w:p>
    <w:p>
      <w:pPr>
        <w:numPr>
          <w:ilvl w:val="3"/>
          <w:numId w:val="1"/>
        </w:numPr>
        <w:snapToGrid w:val="0"/>
        <w:spacing w:line="360" w:lineRule="auto"/>
        <w:ind w:left="15" w:leftChars="7" w:firstLine="621" w:firstLineChars="222"/>
        <w:rPr>
          <w:rFonts w:hint="eastAsia" w:ascii="宋体" w:hAnsi="宋体" w:eastAsia="宋体" w:cs="宋体"/>
          <w:sz w:val="28"/>
          <w:szCs w:val="28"/>
        </w:rPr>
      </w:pPr>
      <w:r>
        <w:rPr>
          <w:rFonts w:hint="eastAsia" w:ascii="宋体" w:hAnsi="宋体" w:eastAsia="宋体" w:cs="宋体"/>
          <w:sz w:val="28"/>
          <w:szCs w:val="28"/>
        </w:rPr>
        <w:t>溴氢酸、碘氢酸</w:t>
      </w:r>
      <w:r>
        <w:rPr>
          <w:rFonts w:hint="eastAsia" w:ascii="宋体" w:hAnsi="宋体" w:eastAsia="宋体" w:cs="宋体"/>
          <w:sz w:val="28"/>
          <w:szCs w:val="28"/>
          <w:lang w:val="en-US" w:eastAsia="zh-CN"/>
        </w:rPr>
        <w:t>还</w:t>
      </w:r>
      <w:r>
        <w:rPr>
          <w:rFonts w:hint="eastAsia" w:ascii="宋体" w:hAnsi="宋体" w:eastAsia="宋体" w:cs="宋体"/>
          <w:sz w:val="28"/>
          <w:szCs w:val="28"/>
        </w:rPr>
        <w:t>应避光储存，溴素应专库储存。</w:t>
      </w:r>
    </w:p>
    <w:p>
      <w:pPr>
        <w:numPr>
          <w:ilvl w:val="3"/>
          <w:numId w:val="1"/>
        </w:numPr>
        <w:snapToGrid w:val="0"/>
        <w:spacing w:line="360" w:lineRule="auto"/>
        <w:ind w:left="15" w:leftChars="7" w:firstLine="621" w:firstLineChars="222"/>
        <w:rPr>
          <w:rFonts w:hint="eastAsia" w:ascii="宋体" w:hAnsi="宋体" w:eastAsia="宋体" w:cs="宋体"/>
          <w:sz w:val="28"/>
          <w:szCs w:val="28"/>
          <w:lang w:val="en-US" w:eastAsia="zh-CN"/>
        </w:rPr>
      </w:pPr>
      <w:r>
        <w:rPr>
          <w:rFonts w:hint="eastAsia" w:ascii="宋体" w:hAnsi="宋体" w:eastAsia="宋体" w:cs="宋体"/>
          <w:sz w:val="28"/>
          <w:szCs w:val="28"/>
        </w:rPr>
        <w:t>腐蚀性危险化学品堆垛高度应控制在：a</w:t>
      </w:r>
      <w:r>
        <w:rPr>
          <w:rFonts w:hint="eastAsia" w:ascii="宋体" w:hAnsi="宋体" w:eastAsia="宋体" w:cs="宋体"/>
          <w:sz w:val="28"/>
          <w:szCs w:val="28"/>
          <w:lang w:val="en-US" w:eastAsia="zh-CN"/>
        </w:rPr>
        <w:t>.</w:t>
      </w:r>
      <w:r>
        <w:rPr>
          <w:rFonts w:hint="eastAsia" w:ascii="宋体" w:hAnsi="宋体" w:eastAsia="宋体" w:cs="宋体"/>
          <w:sz w:val="28"/>
          <w:szCs w:val="28"/>
        </w:rPr>
        <w:t>大铁桶液体：立码；固体：平放，不应超过3m；b</w:t>
      </w:r>
      <w:r>
        <w:rPr>
          <w:rFonts w:hint="eastAsia" w:ascii="宋体" w:hAnsi="宋体" w:eastAsia="宋体" w:cs="宋体"/>
          <w:sz w:val="28"/>
          <w:szCs w:val="28"/>
          <w:lang w:val="en-US" w:eastAsia="zh-CN"/>
        </w:rPr>
        <w:t>.</w:t>
      </w:r>
      <w:r>
        <w:rPr>
          <w:rFonts w:hint="eastAsia" w:ascii="宋体" w:hAnsi="宋体" w:eastAsia="宋体" w:cs="宋体"/>
          <w:sz w:val="28"/>
          <w:szCs w:val="28"/>
        </w:rPr>
        <w:t>大箱（内装坛、桶）不应超过1.5m；c</w:t>
      </w:r>
      <w:r>
        <w:rPr>
          <w:rFonts w:hint="eastAsia" w:ascii="宋体" w:hAnsi="宋体" w:eastAsia="宋体" w:cs="宋体"/>
          <w:sz w:val="28"/>
          <w:szCs w:val="28"/>
          <w:lang w:val="en-US" w:eastAsia="zh-CN"/>
        </w:rPr>
        <w:t>.</w:t>
      </w:r>
      <w:r>
        <w:rPr>
          <w:rFonts w:hint="eastAsia" w:ascii="宋体" w:hAnsi="宋体" w:eastAsia="宋体" w:cs="宋体"/>
          <w:sz w:val="28"/>
          <w:szCs w:val="28"/>
        </w:rPr>
        <w:t>化学试剂木箱不应超过3m；纸箱不应超过2.5m；d</w:t>
      </w:r>
      <w:r>
        <w:rPr>
          <w:rFonts w:hint="eastAsia" w:ascii="宋体" w:hAnsi="宋体" w:eastAsia="宋体" w:cs="宋体"/>
          <w:sz w:val="28"/>
          <w:szCs w:val="28"/>
          <w:lang w:val="en-US" w:eastAsia="zh-CN"/>
        </w:rPr>
        <w:t>.</w:t>
      </w:r>
      <w:r>
        <w:rPr>
          <w:rFonts w:hint="eastAsia" w:ascii="宋体" w:hAnsi="宋体" w:eastAsia="宋体" w:cs="宋体"/>
          <w:sz w:val="28"/>
          <w:szCs w:val="28"/>
        </w:rPr>
        <w:t>袋装3m</w:t>
      </w:r>
      <w:r>
        <w:rPr>
          <w:rFonts w:hint="eastAsia" w:ascii="宋体" w:hAnsi="宋体" w:eastAsia="宋体" w:cs="宋体"/>
          <w:sz w:val="28"/>
          <w:szCs w:val="28"/>
          <w:lang w:val="en-US" w:eastAsia="zh-CN"/>
        </w:rPr>
        <w:t>至</w:t>
      </w:r>
      <w:r>
        <w:rPr>
          <w:rFonts w:hint="eastAsia" w:ascii="宋体" w:hAnsi="宋体" w:eastAsia="宋体" w:cs="宋体"/>
          <w:sz w:val="28"/>
          <w:szCs w:val="28"/>
        </w:rPr>
        <w:t>3.5m。</w:t>
      </w:r>
    </w:p>
    <w:p>
      <w:pPr>
        <w:numPr>
          <w:ilvl w:val="3"/>
          <w:numId w:val="1"/>
        </w:numPr>
        <w:snapToGrid w:val="0"/>
        <w:spacing w:line="360" w:lineRule="auto"/>
        <w:ind w:left="15" w:leftChars="7" w:firstLine="621" w:firstLineChars="222"/>
        <w:rPr>
          <w:rFonts w:hint="eastAsia" w:ascii="宋体" w:hAnsi="宋体" w:eastAsia="宋体" w:cs="宋体"/>
          <w:sz w:val="28"/>
          <w:szCs w:val="28"/>
        </w:rPr>
      </w:pPr>
      <w:r>
        <w:rPr>
          <w:rFonts w:hint="eastAsia" w:ascii="宋体" w:hAnsi="宋体" w:eastAsia="宋体" w:cs="宋体"/>
          <w:sz w:val="28"/>
          <w:szCs w:val="28"/>
          <w:lang w:val="en-US" w:eastAsia="zh-CN"/>
        </w:rPr>
        <w:t>存储使用</w:t>
      </w:r>
      <w:r>
        <w:rPr>
          <w:rFonts w:hint="eastAsia" w:ascii="宋体" w:hAnsi="宋体" w:eastAsia="宋体" w:cs="宋体"/>
          <w:sz w:val="28"/>
          <w:szCs w:val="28"/>
        </w:rPr>
        <w:t>腐蚀性化学品的</w:t>
      </w:r>
      <w:r>
        <w:rPr>
          <w:rFonts w:hint="eastAsia" w:ascii="宋体" w:hAnsi="宋体" w:eastAsia="宋体" w:cs="宋体"/>
          <w:sz w:val="28"/>
          <w:szCs w:val="28"/>
          <w:lang w:val="en-US" w:eastAsia="zh-CN"/>
        </w:rPr>
        <w:t>区域</w:t>
      </w:r>
      <w:r>
        <w:rPr>
          <w:rFonts w:hint="eastAsia" w:ascii="宋体" w:hAnsi="宋体" w:eastAsia="宋体" w:cs="宋体"/>
          <w:sz w:val="28"/>
          <w:szCs w:val="28"/>
        </w:rPr>
        <w:t>应铺设防腐蚀地面。</w:t>
      </w:r>
    </w:p>
    <w:p>
      <w:pPr>
        <w:numPr>
          <w:ilvl w:val="3"/>
          <w:numId w:val="1"/>
        </w:numPr>
        <w:snapToGrid w:val="0"/>
        <w:spacing w:line="360" w:lineRule="auto"/>
        <w:ind w:left="15" w:leftChars="7" w:firstLine="621" w:firstLineChars="222"/>
        <w:rPr>
          <w:rFonts w:hint="eastAsia" w:ascii="宋体" w:hAnsi="宋体" w:eastAsia="宋体" w:cs="宋体"/>
          <w:sz w:val="28"/>
          <w:szCs w:val="28"/>
        </w:rPr>
      </w:pPr>
      <w:r>
        <w:rPr>
          <w:rFonts w:hint="eastAsia"/>
          <w:sz w:val="28"/>
          <w:szCs w:val="28"/>
          <w:highlight w:val="none"/>
          <w:lang w:eastAsia="zh-CN"/>
        </w:rPr>
        <w:t>腐蚀性危险化学品槽罐</w:t>
      </w:r>
      <w:r>
        <w:rPr>
          <w:rFonts w:hint="eastAsia"/>
          <w:sz w:val="28"/>
          <w:szCs w:val="28"/>
          <w:highlight w:val="none"/>
          <w:lang w:val="en-US" w:eastAsia="zh-CN"/>
        </w:rPr>
        <w:t>的设置</w:t>
      </w:r>
      <w:r>
        <w:rPr>
          <w:rFonts w:hint="eastAsia"/>
          <w:sz w:val="28"/>
          <w:szCs w:val="28"/>
          <w:highlight w:val="none"/>
          <w:lang w:eastAsia="zh-CN"/>
        </w:rPr>
        <w:t>宜</w:t>
      </w:r>
      <w:r>
        <w:rPr>
          <w:rFonts w:hint="eastAsia"/>
          <w:sz w:val="28"/>
          <w:szCs w:val="28"/>
          <w:highlight w:val="none"/>
          <w:lang w:val="en-US" w:eastAsia="zh-CN"/>
        </w:rPr>
        <w:t>避开人员密集区、主要道路和建筑支柱</w:t>
      </w:r>
      <w:r>
        <w:rPr>
          <w:rFonts w:hint="eastAsia"/>
          <w:sz w:val="28"/>
          <w:szCs w:val="28"/>
          <w:highlight w:val="none"/>
          <w:lang w:eastAsia="zh-CN"/>
        </w:rPr>
        <w:t>。</w:t>
      </w:r>
    </w:p>
    <w:p>
      <w:pPr>
        <w:numPr>
          <w:ilvl w:val="3"/>
          <w:numId w:val="1"/>
        </w:numPr>
        <w:snapToGrid w:val="0"/>
        <w:spacing w:line="360" w:lineRule="auto"/>
        <w:ind w:left="15" w:leftChars="7" w:firstLine="621" w:firstLineChars="222"/>
        <w:rPr>
          <w:rFonts w:hint="eastAsia" w:ascii="宋体" w:hAnsi="宋体" w:eastAsia="宋体" w:cs="宋体"/>
          <w:sz w:val="28"/>
          <w:szCs w:val="28"/>
        </w:rPr>
      </w:pPr>
      <w:r>
        <w:rPr>
          <w:rFonts w:hint="eastAsia" w:ascii="宋体" w:hAnsi="宋体" w:eastAsia="宋体" w:cs="宋体"/>
          <w:sz w:val="28"/>
          <w:szCs w:val="28"/>
        </w:rPr>
        <w:t>储存腐蚀性化学品的区域应</w:t>
      </w:r>
      <w:r>
        <w:rPr>
          <w:rFonts w:hint="eastAsia" w:ascii="宋体" w:hAnsi="宋体" w:eastAsia="宋体" w:cs="宋体"/>
          <w:sz w:val="28"/>
          <w:szCs w:val="28"/>
          <w:lang w:val="en-US" w:eastAsia="zh-CN"/>
        </w:rPr>
        <w:t>设置</w:t>
      </w:r>
      <w:r>
        <w:rPr>
          <w:rFonts w:hint="eastAsia" w:ascii="宋体" w:hAnsi="宋体" w:eastAsia="宋体" w:cs="宋体"/>
          <w:sz w:val="28"/>
          <w:szCs w:val="28"/>
        </w:rPr>
        <w:t>围堰</w:t>
      </w:r>
      <w:r>
        <w:rPr>
          <w:rFonts w:hint="eastAsia" w:ascii="宋体" w:hAnsi="宋体" w:eastAsia="宋体" w:cs="宋体"/>
          <w:sz w:val="28"/>
          <w:szCs w:val="28"/>
          <w:lang w:eastAsia="zh-CN"/>
        </w:rPr>
        <w:t>，</w:t>
      </w:r>
      <w:r>
        <w:rPr>
          <w:rFonts w:hint="eastAsia" w:ascii="宋体" w:hAnsi="宋体" w:eastAsia="宋体" w:cs="宋体"/>
          <w:sz w:val="28"/>
          <w:szCs w:val="28"/>
        </w:rPr>
        <w:t>围堰设置应符合下列要求：a</w:t>
      </w:r>
      <w:r>
        <w:rPr>
          <w:rFonts w:hint="eastAsia" w:ascii="宋体" w:hAnsi="宋体" w:eastAsia="宋体" w:cs="宋体"/>
          <w:sz w:val="28"/>
          <w:szCs w:val="28"/>
          <w:lang w:val="en-US" w:eastAsia="zh-CN"/>
        </w:rPr>
        <w:t>.</w:t>
      </w:r>
      <w:r>
        <w:rPr>
          <w:rFonts w:hint="eastAsia" w:ascii="宋体" w:hAnsi="宋体" w:eastAsia="宋体" w:cs="宋体"/>
          <w:sz w:val="28"/>
          <w:szCs w:val="28"/>
        </w:rPr>
        <w:t>围堰高出堰区地面的高度不应小于150mm；b</w:t>
      </w:r>
      <w:r>
        <w:rPr>
          <w:rFonts w:hint="eastAsia" w:ascii="宋体" w:hAnsi="宋体" w:eastAsia="宋体" w:cs="宋体"/>
          <w:sz w:val="28"/>
          <w:szCs w:val="28"/>
          <w:lang w:val="en-US" w:eastAsia="zh-CN"/>
        </w:rPr>
        <w:t>.</w:t>
      </w:r>
      <w:r>
        <w:rPr>
          <w:rFonts w:hint="eastAsia" w:ascii="宋体" w:hAnsi="宋体" w:eastAsia="宋体" w:cs="宋体"/>
          <w:sz w:val="28"/>
          <w:szCs w:val="28"/>
        </w:rPr>
        <w:t>围堰内应有排水设施；c</w:t>
      </w:r>
      <w:r>
        <w:rPr>
          <w:rFonts w:hint="eastAsia" w:ascii="宋体" w:hAnsi="宋体" w:eastAsia="宋体" w:cs="宋体"/>
          <w:sz w:val="28"/>
          <w:szCs w:val="28"/>
          <w:lang w:val="en-US" w:eastAsia="zh-CN"/>
        </w:rPr>
        <w:t>.</w:t>
      </w:r>
      <w:r>
        <w:rPr>
          <w:rFonts w:hint="eastAsia" w:ascii="宋体" w:hAnsi="宋体" w:eastAsia="宋体" w:cs="宋体"/>
          <w:sz w:val="28"/>
          <w:szCs w:val="28"/>
        </w:rPr>
        <w:t>围堰内地面应坡向排水设施，坡度不宜小于0.3%。</w:t>
      </w:r>
    </w:p>
    <w:p>
      <w:pPr>
        <w:numPr>
          <w:ilvl w:val="3"/>
          <w:numId w:val="1"/>
        </w:numPr>
        <w:snapToGrid w:val="0"/>
        <w:spacing w:line="360" w:lineRule="auto"/>
        <w:ind w:left="15" w:leftChars="7" w:firstLine="621" w:firstLineChars="222"/>
        <w:rPr>
          <w:rFonts w:hint="eastAsia" w:ascii="宋体" w:hAnsi="宋体" w:eastAsia="宋体" w:cs="宋体"/>
          <w:sz w:val="28"/>
          <w:szCs w:val="28"/>
          <w:lang w:val="en-US" w:eastAsia="zh-CN"/>
        </w:rPr>
      </w:pPr>
      <w:r>
        <w:rPr>
          <w:rFonts w:hint="eastAsia" w:cs="宋体"/>
          <w:sz w:val="28"/>
          <w:szCs w:val="28"/>
        </w:rPr>
        <w:t>作业时应穿戴防护服、护目镜、橡胶浸塑手套等防护用具，应做到：a</w:t>
      </w:r>
      <w:r>
        <w:rPr>
          <w:rFonts w:hint="eastAsia" w:cs="宋体"/>
          <w:sz w:val="28"/>
          <w:szCs w:val="28"/>
          <w:lang w:val="en-US" w:eastAsia="zh-CN"/>
        </w:rPr>
        <w:t>.</w:t>
      </w:r>
      <w:r>
        <w:rPr>
          <w:rFonts w:hint="eastAsia" w:cs="宋体"/>
          <w:sz w:val="28"/>
          <w:szCs w:val="28"/>
        </w:rPr>
        <w:t>操作时应轻搬轻放，防止摩擦震动和撞击；b</w:t>
      </w:r>
      <w:r>
        <w:rPr>
          <w:rFonts w:hint="eastAsia" w:cs="宋体"/>
          <w:sz w:val="28"/>
          <w:szCs w:val="28"/>
          <w:lang w:val="en-US" w:eastAsia="zh-CN"/>
        </w:rPr>
        <w:t>.</w:t>
      </w:r>
      <w:r>
        <w:rPr>
          <w:rFonts w:hint="eastAsia" w:cs="宋体"/>
          <w:sz w:val="28"/>
          <w:szCs w:val="28"/>
        </w:rPr>
        <w:t>分装、改装、开箱检查等应在库房外进行；c</w:t>
      </w:r>
      <w:r>
        <w:rPr>
          <w:rFonts w:hint="eastAsia" w:cs="宋体"/>
          <w:sz w:val="28"/>
          <w:szCs w:val="28"/>
          <w:lang w:val="en-US" w:eastAsia="zh-CN"/>
        </w:rPr>
        <w:t>.</w:t>
      </w:r>
      <w:r>
        <w:rPr>
          <w:rFonts w:hint="eastAsia" w:cs="宋体"/>
          <w:sz w:val="28"/>
          <w:szCs w:val="28"/>
        </w:rPr>
        <w:t>有氧化性强酸不应采用木质品或易燃材质的货架或垫衬。</w:t>
      </w:r>
    </w:p>
    <w:p>
      <w:pPr>
        <w:numPr>
          <w:ilvl w:val="3"/>
          <w:numId w:val="1"/>
        </w:numPr>
        <w:snapToGrid w:val="0"/>
        <w:spacing w:line="360" w:lineRule="auto"/>
        <w:ind w:left="15" w:leftChars="7" w:firstLine="621" w:firstLineChars="222"/>
        <w:rPr>
          <w:rFonts w:hint="eastAsia" w:cs="宋体"/>
          <w:sz w:val="28"/>
          <w:szCs w:val="28"/>
          <w:lang w:val="en-US" w:eastAsia="zh-CN"/>
        </w:rPr>
      </w:pPr>
      <w:r>
        <w:rPr>
          <w:rFonts w:hint="eastAsia" w:cs="宋体"/>
          <w:sz w:val="28"/>
          <w:szCs w:val="28"/>
          <w:lang w:val="en-US" w:eastAsia="zh-CN"/>
        </w:rPr>
        <w:t>存储</w:t>
      </w:r>
      <w:r>
        <w:rPr>
          <w:rFonts w:hint="eastAsia" w:cs="宋体"/>
          <w:sz w:val="28"/>
          <w:szCs w:val="28"/>
        </w:rPr>
        <w:t>场所</w:t>
      </w:r>
      <w:r>
        <w:rPr>
          <w:rFonts w:hint="eastAsia" w:cs="宋体"/>
          <w:sz w:val="28"/>
          <w:szCs w:val="28"/>
          <w:lang w:eastAsia="zh-CN"/>
        </w:rPr>
        <w:t>应设置洗眼</w:t>
      </w:r>
      <w:r>
        <w:rPr>
          <w:rFonts w:hint="eastAsia" w:cs="宋体"/>
          <w:sz w:val="28"/>
          <w:szCs w:val="28"/>
          <w:lang w:val="en-US" w:eastAsia="zh-CN"/>
        </w:rPr>
        <w:t>器等应急处置设施，</w:t>
      </w:r>
      <w:r>
        <w:rPr>
          <w:rFonts w:hint="eastAsia" w:cs="宋体"/>
          <w:sz w:val="28"/>
          <w:szCs w:val="28"/>
        </w:rPr>
        <w:t>使用场所</w:t>
      </w:r>
      <w:r>
        <w:rPr>
          <w:rFonts w:hint="eastAsia" w:cs="宋体"/>
          <w:sz w:val="28"/>
          <w:szCs w:val="28"/>
          <w:lang w:val="en-US" w:eastAsia="zh-CN"/>
        </w:rPr>
        <w:t>宜根据用量等情况参照存储</w:t>
      </w:r>
      <w:r>
        <w:rPr>
          <w:rFonts w:hint="eastAsia" w:cs="宋体"/>
          <w:sz w:val="28"/>
          <w:szCs w:val="28"/>
        </w:rPr>
        <w:t>场所</w:t>
      </w:r>
      <w:r>
        <w:rPr>
          <w:rFonts w:hint="eastAsia" w:cs="宋体"/>
          <w:sz w:val="28"/>
          <w:szCs w:val="28"/>
          <w:lang w:val="en-US" w:eastAsia="zh-CN"/>
        </w:rPr>
        <w:t>设置应急处置设施</w:t>
      </w:r>
      <w:r>
        <w:rPr>
          <w:rFonts w:hint="eastAsia" w:cs="宋体"/>
          <w:sz w:val="28"/>
          <w:szCs w:val="28"/>
        </w:rPr>
        <w:t>。</w:t>
      </w:r>
    </w:p>
    <w:p>
      <w:pPr>
        <w:numPr>
          <w:ilvl w:val="2"/>
          <w:numId w:val="1"/>
        </w:numPr>
        <w:snapToGrid w:val="0"/>
        <w:spacing w:line="360" w:lineRule="auto"/>
        <w:ind w:left="829" w:hanging="199"/>
        <w:outlineLvl w:val="2"/>
        <w:rPr>
          <w:rFonts w:ascii="宋体" w:hAnsi="宋体" w:eastAsia="宋体" w:cs="宋体"/>
          <w:sz w:val="28"/>
          <w:szCs w:val="28"/>
        </w:rPr>
      </w:pPr>
      <w:r>
        <w:rPr>
          <w:rFonts w:hint="eastAsia" w:ascii="黑体" w:hAnsi="黑体" w:eastAsia="黑体"/>
          <w:sz w:val="28"/>
          <w:szCs w:val="28"/>
          <w:lang w:val="en-US" w:eastAsia="zh-CN"/>
        </w:rPr>
        <w:t>二氧化硫等腐蚀性气态类</w:t>
      </w:r>
      <w:r>
        <w:rPr>
          <w:rFonts w:ascii="黑体" w:hAnsi="黑体" w:eastAsia="黑体"/>
          <w:sz w:val="28"/>
          <w:szCs w:val="28"/>
        </w:rPr>
        <w:t>危险化学品</w:t>
      </w:r>
      <w:r>
        <w:rPr>
          <w:rFonts w:hint="eastAsia" w:ascii="黑体" w:hAnsi="黑体" w:eastAsia="黑体"/>
          <w:sz w:val="28"/>
          <w:szCs w:val="28"/>
          <w:lang w:val="en-US" w:eastAsia="zh-CN"/>
        </w:rPr>
        <w:t>使用储存要求</w:t>
      </w:r>
    </w:p>
    <w:p>
      <w:pPr>
        <w:numPr>
          <w:ilvl w:val="3"/>
          <w:numId w:val="1"/>
        </w:numPr>
        <w:snapToGrid w:val="0"/>
        <w:spacing w:line="360" w:lineRule="auto"/>
        <w:ind w:left="15" w:leftChars="7" w:firstLine="621" w:firstLineChars="222"/>
        <w:rPr>
          <w:rFonts w:hint="eastAsia" w:ascii="宋体" w:hAnsi="宋体" w:eastAsia="宋体" w:cs="宋体"/>
          <w:b w:val="0"/>
          <w:bCs w:val="0"/>
          <w:kern w:val="2"/>
          <w:sz w:val="28"/>
          <w:szCs w:val="28"/>
          <w:lang w:val="en-US" w:eastAsia="zh-CN" w:bidi="ar-SA"/>
        </w:rPr>
      </w:pPr>
      <w:r>
        <w:rPr>
          <w:rFonts w:hint="eastAsia" w:cs="宋体"/>
          <w:sz w:val="28"/>
          <w:szCs w:val="28"/>
          <w:lang w:val="en-US" w:eastAsia="zh-CN"/>
        </w:rPr>
        <w:t>二氧化硫</w:t>
      </w:r>
      <w:r>
        <w:rPr>
          <w:rFonts w:hint="eastAsia" w:cs="宋体"/>
          <w:sz w:val="28"/>
          <w:szCs w:val="28"/>
        </w:rPr>
        <w:t>等</w:t>
      </w:r>
      <w:r>
        <w:rPr>
          <w:rFonts w:hint="eastAsia" w:cs="宋体"/>
          <w:sz w:val="28"/>
          <w:szCs w:val="28"/>
          <w:lang w:val="en-US" w:eastAsia="zh-CN"/>
        </w:rPr>
        <w:t>兼</w:t>
      </w:r>
      <w:r>
        <w:rPr>
          <w:rFonts w:hint="eastAsia" w:cs="宋体"/>
          <w:sz w:val="28"/>
          <w:szCs w:val="28"/>
        </w:rPr>
        <w:t>有毒害性</w:t>
      </w:r>
      <w:r>
        <w:rPr>
          <w:rFonts w:hint="eastAsia" w:cs="宋体"/>
          <w:sz w:val="28"/>
          <w:szCs w:val="28"/>
          <w:lang w:val="en-US" w:eastAsia="zh-CN"/>
        </w:rPr>
        <w:t>的</w:t>
      </w:r>
      <w:r>
        <w:rPr>
          <w:rFonts w:hint="eastAsia" w:cs="宋体"/>
          <w:sz w:val="28"/>
          <w:szCs w:val="28"/>
        </w:rPr>
        <w:t>腐蚀性气体</w:t>
      </w:r>
      <w:r>
        <w:rPr>
          <w:rFonts w:hint="eastAsia" w:cs="宋体"/>
          <w:sz w:val="28"/>
          <w:szCs w:val="28"/>
          <w:lang w:val="en-US" w:eastAsia="zh-CN"/>
        </w:rPr>
        <w:t>使用</w:t>
      </w:r>
      <w:r>
        <w:rPr>
          <w:rFonts w:hint="eastAsia" w:cs="宋体"/>
          <w:sz w:val="28"/>
          <w:szCs w:val="28"/>
        </w:rPr>
        <w:t>储存</w:t>
      </w:r>
      <w:r>
        <w:rPr>
          <w:rFonts w:hint="eastAsia" w:cs="宋体"/>
          <w:sz w:val="28"/>
          <w:szCs w:val="28"/>
          <w:lang w:val="en-US" w:eastAsia="zh-CN"/>
        </w:rPr>
        <w:t>还</w:t>
      </w:r>
      <w:r>
        <w:rPr>
          <w:rFonts w:hint="eastAsia" w:cs="宋体"/>
          <w:sz w:val="28"/>
          <w:szCs w:val="28"/>
        </w:rPr>
        <w:t>应满足本《安全手册》第3.3节的要求。</w:t>
      </w:r>
    </w:p>
    <w:p>
      <w:pPr>
        <w:numPr>
          <w:ilvl w:val="3"/>
          <w:numId w:val="1"/>
        </w:numPr>
        <w:snapToGrid w:val="0"/>
        <w:spacing w:line="360" w:lineRule="auto"/>
        <w:ind w:left="15" w:leftChars="7" w:firstLine="621" w:firstLineChars="222"/>
        <w:rPr>
          <w:rFonts w:ascii="宋体" w:hAnsi="宋体" w:eastAsia="宋体" w:cs="宋体"/>
          <w:sz w:val="28"/>
          <w:szCs w:val="28"/>
        </w:rPr>
      </w:pPr>
      <w:r>
        <w:rPr>
          <w:rFonts w:hint="eastAsia" w:cs="宋体"/>
          <w:sz w:val="28"/>
          <w:szCs w:val="28"/>
          <w:lang w:val="en-US" w:eastAsia="zh-CN"/>
        </w:rPr>
        <w:t>有腐蚀性气体的场所应采用密闭型灯具，</w:t>
      </w:r>
      <w:r>
        <w:rPr>
          <w:rFonts w:hint="eastAsia" w:ascii="宋体" w:hAnsi="宋体" w:eastAsia="宋体" w:cs="宋体"/>
          <w:b w:val="0"/>
          <w:bCs w:val="0"/>
          <w:kern w:val="2"/>
          <w:sz w:val="28"/>
          <w:szCs w:val="28"/>
          <w:lang w:val="en-US" w:eastAsia="zh-CN" w:bidi="ar-SA"/>
        </w:rPr>
        <w:t>设备及管道系统上应安装耐蚀</w:t>
      </w:r>
      <w:r>
        <w:rPr>
          <w:rFonts w:hint="eastAsia" w:ascii="宋体" w:hAnsi="宋体" w:eastAsia="宋体" w:cs="宋体"/>
          <w:b w:val="0"/>
          <w:bCs w:val="0"/>
          <w:kern w:val="2"/>
          <w:sz w:val="28"/>
          <w:szCs w:val="28"/>
          <w:lang w:val="en-US" w:eastAsia="zh-CN" w:bidi="ar-SA"/>
        </w:rPr>
        <w:fldChar w:fldCharType="begin"/>
      </w:r>
      <w:r>
        <w:rPr>
          <w:rFonts w:hint="eastAsia" w:ascii="宋体" w:hAnsi="宋体" w:eastAsia="宋体" w:cs="宋体"/>
          <w:b w:val="0"/>
          <w:bCs w:val="0"/>
          <w:kern w:val="2"/>
          <w:sz w:val="28"/>
          <w:szCs w:val="28"/>
          <w:lang w:val="en-US" w:eastAsia="zh-CN" w:bidi="ar-SA"/>
        </w:rPr>
        <w:instrText xml:space="preserve"> HYPERLINK "http://www.76616.com/tag/%e8%86%9c%e7%89%87/" \o "查看与 膜片 相关的文章" \t "http://www.76616.com/_blank" </w:instrText>
      </w:r>
      <w:r>
        <w:rPr>
          <w:rFonts w:hint="eastAsia" w:ascii="宋体" w:hAnsi="宋体" w:eastAsia="宋体" w:cs="宋体"/>
          <w:b w:val="0"/>
          <w:bCs w:val="0"/>
          <w:kern w:val="2"/>
          <w:sz w:val="28"/>
          <w:szCs w:val="28"/>
          <w:lang w:val="en-US" w:eastAsia="zh-CN" w:bidi="ar-SA"/>
        </w:rPr>
        <w:fldChar w:fldCharType="separate"/>
      </w:r>
      <w:r>
        <w:rPr>
          <w:rFonts w:hint="eastAsia" w:ascii="宋体" w:hAnsi="宋体" w:eastAsia="宋体" w:cs="宋体"/>
          <w:b w:val="0"/>
          <w:bCs w:val="0"/>
          <w:kern w:val="2"/>
          <w:sz w:val="28"/>
          <w:szCs w:val="28"/>
          <w:lang w:val="en-US" w:eastAsia="zh-CN" w:bidi="ar-SA"/>
        </w:rPr>
        <w:t>膜片</w:t>
      </w:r>
      <w:r>
        <w:rPr>
          <w:rFonts w:hint="eastAsia" w:ascii="宋体" w:hAnsi="宋体" w:eastAsia="宋体" w:cs="宋体"/>
          <w:b w:val="0"/>
          <w:bCs w:val="0"/>
          <w:kern w:val="2"/>
          <w:sz w:val="28"/>
          <w:szCs w:val="28"/>
          <w:lang w:val="en-US" w:eastAsia="zh-CN" w:bidi="ar-SA"/>
        </w:rPr>
        <w:fldChar w:fldCharType="end"/>
      </w:r>
      <w:r>
        <w:rPr>
          <w:rFonts w:hint="eastAsia" w:ascii="宋体" w:hAnsi="宋体" w:eastAsia="宋体" w:cs="宋体"/>
          <w:b w:val="0"/>
          <w:bCs w:val="0"/>
          <w:kern w:val="2"/>
          <w:sz w:val="28"/>
          <w:szCs w:val="28"/>
          <w:lang w:val="en-US" w:eastAsia="zh-CN" w:bidi="ar-SA"/>
        </w:rPr>
        <w:t>式压力指示计，</w:t>
      </w:r>
      <w:r>
        <w:rPr>
          <w:rFonts w:hint="eastAsia" w:cs="宋体"/>
          <w:sz w:val="28"/>
          <w:szCs w:val="28"/>
          <w:lang w:val="en-US" w:eastAsia="zh-CN"/>
        </w:rPr>
        <w:t>其他设备部件也应采取防腐蚀措施。</w:t>
      </w:r>
    </w:p>
    <w:p>
      <w:pPr>
        <w:keepNext/>
        <w:numPr>
          <w:ilvl w:val="0"/>
          <w:numId w:val="1"/>
        </w:numPr>
        <w:snapToGrid w:val="0"/>
        <w:spacing w:before="187" w:after="187"/>
        <w:ind w:left="425" w:hanging="425"/>
        <w:outlineLvl w:val="0"/>
        <w:rPr>
          <w:rFonts w:ascii="黑体" w:hAnsi="黑体" w:eastAsia="黑体"/>
          <w:sz w:val="28"/>
          <w:szCs w:val="28"/>
        </w:rPr>
      </w:pPr>
      <w:bookmarkStart w:id="12" w:name="_Toc85809982"/>
      <w:r>
        <w:rPr>
          <w:rFonts w:ascii="黑体" w:hAnsi="黑体" w:eastAsia="黑体"/>
          <w:sz w:val="28"/>
          <w:szCs w:val="28"/>
        </w:rPr>
        <w:t>重点行业领域</w:t>
      </w:r>
      <w:r>
        <w:rPr>
          <w:rFonts w:hint="eastAsia" w:ascii="黑体" w:hAnsi="黑体" w:eastAsia="黑体"/>
          <w:sz w:val="28"/>
          <w:szCs w:val="28"/>
        </w:rPr>
        <w:t>企业</w:t>
      </w:r>
      <w:r>
        <w:rPr>
          <w:rFonts w:ascii="黑体" w:hAnsi="黑体" w:eastAsia="黑体"/>
          <w:sz w:val="28"/>
          <w:szCs w:val="28"/>
        </w:rPr>
        <w:t>安全管理要求</w:t>
      </w:r>
      <w:bookmarkEnd w:id="12"/>
    </w:p>
    <w:p>
      <w:pPr>
        <w:keepNext/>
        <w:numPr>
          <w:ilvl w:val="1"/>
          <w:numId w:val="1"/>
        </w:numPr>
        <w:snapToGrid w:val="0"/>
        <w:spacing w:before="187" w:after="187"/>
        <w:ind w:left="993" w:hanging="352"/>
        <w:outlineLvl w:val="1"/>
        <w:rPr>
          <w:rFonts w:ascii="黑体" w:hAnsi="黑体" w:eastAsia="黑体"/>
          <w:sz w:val="28"/>
          <w:szCs w:val="28"/>
        </w:rPr>
      </w:pPr>
      <w:bookmarkStart w:id="13" w:name="_Toc85809983"/>
      <w:r>
        <w:rPr>
          <w:rFonts w:hint="eastAsia" w:ascii="黑体" w:hAnsi="黑体" w:eastAsia="黑体"/>
          <w:sz w:val="28"/>
          <w:szCs w:val="28"/>
        </w:rPr>
        <w:t>涉重大危险源企业管理要求</w:t>
      </w:r>
      <w:bookmarkEnd w:id="13"/>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重大危险源罐区储罐应设置液位监测器，应具备高低位液位报警功能。</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大型(5000m³以上)可燃液体储罐、400m³以上的危险化学品压力储罐应另设高高液位监测报警及联锁控制系统。可根据实际情况设置储罐的温度、液位、压力以及环境温度等参数的联锁自动控制装备，包括物料的自动切断或转移以及喷淋降温装备等。</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防雷装备按《石油库设计规范》设置。定期监测避雷针（网、带）的接地电阻，不得大于10Ω。</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罐区消防灭火装备的设置应符合《石油化工企业设计防火标准》和《石油库设计规范》的要求。</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使用氯气、氨气、光气、硫化氢等吸入性有毒有害气体的企业，构成重大危险源的，应当设立气体防护站（组）。</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重大危险源应配备温度、压力、液位、流量等信息的不间断采集和监测系统以及可燃气体和有毒有害气体泄漏检测报警装置，并具备信息远传、记录、安全预警、信息存储等功能。</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企业应定期对重大危险源的安全设施和安全监测监控系统进行检测、检验，并进行经常性维护、保养，保证重大危险源的安全设施和安全监测监控系统有效、可靠运行。维护、保养、检测应当作好记录，并由有关人员签字。</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通过定量风险评价确定的重大危险源的个人和社会风险值，不得超过个人和社会可容许风险限值标准。超过个人和社会可容许风险限值标准的，危险化学品单位应当采取相应的降低风险措施。</w:t>
      </w:r>
    </w:p>
    <w:p>
      <w:pPr>
        <w:keepNext/>
        <w:numPr>
          <w:ilvl w:val="1"/>
          <w:numId w:val="1"/>
        </w:numPr>
        <w:snapToGrid w:val="0"/>
        <w:spacing w:before="187" w:after="187"/>
        <w:ind w:left="993" w:hanging="352"/>
        <w:outlineLvl w:val="1"/>
        <w:rPr>
          <w:rFonts w:ascii="黑体" w:hAnsi="黑体" w:eastAsia="黑体"/>
          <w:sz w:val="28"/>
          <w:szCs w:val="28"/>
        </w:rPr>
      </w:pPr>
      <w:bookmarkStart w:id="14" w:name="_Toc85809984"/>
      <w:r>
        <w:rPr>
          <w:rFonts w:hint="eastAsia" w:ascii="黑体" w:hAnsi="黑体" w:eastAsia="黑体"/>
          <w:sz w:val="28"/>
          <w:szCs w:val="28"/>
        </w:rPr>
        <w:t>涉加氢、聚合重点工艺企业管理要求</w:t>
      </w:r>
      <w:bookmarkEnd w:id="14"/>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加氢工艺、聚合工艺应设置自动控制系统，自动控制系统应具备远程调节、信息存储、连续记录、超限报警、连锁切断、紧急停车等功能，记录的电子数据的保存时间不少于30天。</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加氢工艺、聚合工艺的安全控制要求：反应釜的温度和压力的报警及联锁，紧急冷却系统，搅拌的稳定控制系统，紧急切断系统，可燃和有毒气体检测报警装置。</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加氢工艺还应采取的安全控制要求：物料的比例控制和联锁系统，紧急切断系统应切断的是氢气，设备应加装安全阀、爆破片等安全附件，循环氢压缩机设置停机报警和联锁。</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聚合反应还应采取的安全控制要求：紧急加入反应终止剂系统。搅拌的联锁系统，料仓静电消除、可燃气体置换系统，高压聚合反应釜应设有防爆墙和泄爆面等。</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加氢工艺、聚合工艺的工艺控制方式：反应釜内温度、压力与釜内搅拌电流、物料流量、反应釜夹套冷却水进水阀形成联锁关系，设立紧急停车系统和安全泄放系统。</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加氢工艺应采取的工艺控制方式：反应釜物料流量特指氢气流量，加氢反应还应加入急冷氮气或氢气的系统，当加氢反应釜内温度或压力超标或搅拌系统发生故障时自动停止加氢并泄压，进入紧急状态。</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聚合工艺应采取的工艺控制方式：物料流量特指聚合单体流量和引发剂加入量，当反应釜超温、搅拌失效或冷却失效时，应设置及时加入聚合反应终止剂系统。</w:t>
      </w:r>
    </w:p>
    <w:p>
      <w:pPr>
        <w:keepNext/>
        <w:numPr>
          <w:ilvl w:val="1"/>
          <w:numId w:val="1"/>
        </w:numPr>
        <w:snapToGrid w:val="0"/>
        <w:spacing w:before="187" w:after="187"/>
        <w:ind w:left="993" w:hanging="352"/>
        <w:outlineLvl w:val="1"/>
        <w:rPr>
          <w:rFonts w:ascii="黑体" w:hAnsi="黑体" w:eastAsia="黑体"/>
          <w:sz w:val="28"/>
          <w:szCs w:val="28"/>
        </w:rPr>
      </w:pPr>
      <w:bookmarkStart w:id="15" w:name="_Toc85809985"/>
      <w:r>
        <w:rPr>
          <w:rFonts w:hint="eastAsia" w:ascii="黑体" w:hAnsi="黑体" w:eastAsia="黑体"/>
          <w:sz w:val="28"/>
          <w:szCs w:val="28"/>
        </w:rPr>
        <w:t>金属熔融企业管理要求</w:t>
      </w:r>
      <w:bookmarkEnd w:id="15"/>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乙炔站、丙烷气站、供油站、天然气储配站等火灾和爆炸危险性较大的及产生烟尘、有毒有害气体的设施，应位于厂区和居住区常年最小频率风向的上风侧。</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煤气工程设计应安全可靠，应优先采用智能化、机械化、自动化措施，符合《工业企业煤气安全规程》的要求。</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发生炉煤气、水煤气（含半水煤气）、直立连续式炭化炉煤气的生产与净化设施应符合《工业企业煤气安全规程》的要求。</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高炉煤气、焦炉煤气、转炉煤气的回收与净化设施应符合《工业企业煤气安全规程》的要求。</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煤气柜应位于厂区和居住区常年最小频率风向的上风侧。</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煤气管道（含天然气管道）的安全管理应符合《工业企业煤气安全规程》的要求，配备煤气在线监测、防护设施。煤气危险区（如地下室、加压站、热风炉及各种煤气发生设施附近）的一氧化碳浓度应定期测定，在关键部位应设置一氧化碳监测装置。作业环境一氧化碳最高允许浓度为30mg/m</w:t>
      </w:r>
      <w:r>
        <w:rPr>
          <w:rFonts w:hint="eastAsia" w:ascii="宋体" w:hAnsi="宋体" w:eastAsia="宋体" w:cs="宋体"/>
          <w:sz w:val="28"/>
          <w:szCs w:val="28"/>
          <w:vertAlign w:val="superscript"/>
        </w:rPr>
        <w:t>3</w:t>
      </w:r>
      <w:r>
        <w:rPr>
          <w:rFonts w:hint="eastAsia" w:ascii="宋体" w:hAnsi="宋体" w:eastAsia="宋体" w:cs="宋体"/>
          <w:sz w:val="28"/>
          <w:szCs w:val="28"/>
        </w:rPr>
        <w:t>（24ppm）。</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进入涉及煤气、氮气等有毒有害气体设施内的有限空间作业，应遵守有限空间作业安全管理和《密闭空间作业职业危害防护规范》的规定要求，先通风，再检测，后作业。</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氧气管道及设备的设计、施工、生产、维护、安全保护装置(安全泄放装置、阻火器)以及安全防护的基本要求应严格遵循《压力管道规范 工业管道 第6部分：安全防护》的相关技术要求，还应符合《氧气站设计规范》、《深度冷冻法生产氧气及相关气体安全技术规程》的规定。</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氧气站应位于空气洁净区域，其空分设备的吸风口应位于各种易燃、易爆性气源与尘源的常年最小频率风向的下风侧。</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在氧气管道中，干、湿氧气不应混送，也不应交替输送。</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富氧房及其设施安全管理应符合《炼铁安全规程》相关要求。</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通氧气用的耐高压胶管应脱脂。炉前使用的氧气胶管，长度不应小于30m，10m内不应有接头。吹氧钢管长度不应小于6m。氧气胶管与钢管联接，应严密、牢固。</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氧气瓶放置地点，应远离明火，且不得正对渣口、铁口。氧气瓶的瓶帽、防震胶圈和安全阀应完好、齐全，并严防油脂污染。</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供氧设备、管道以及工作人员使用的工具、防护用品不应有油污；使用的工具还应镀铜、脱脂。检修时宜穿戴静电防护用品不应穿化纤服装。</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检修供氧设备动火前，应认真检查氧气阀门，确保不泄漏，应用干燥的氮气或无油的干燥空气置换，经取样化验合格（氧浓度不大于23%），并经主管部门同意，方可施工。</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进入充装氧气的设备、管道、容器内检修，应先可靠切断气源，先用干燥的氮气进行置换，再用无油的干燥空气进行吹扫后经检测氧含量在 19.5%～23%范围内，方可进行。</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检修后和长期停用的氧气管道，应经彻底检查、吹扫，确认管内无油脂及杂物，方可启用。</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高炉工业蒸汽分汽包、压缩空气分汽包、氮气储气罐、喷煤系统的中间罐与喷吹罐、汽化冷却汽包以及软水密闭循环冷却的膨胀罐等，其设计、制造和使用，应符合《压力容器》等国家有关压力容器的规定。</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油库及油泵室的设置，应遵守《建筑设计防火规范》的规定。油库及油泵室应有防火设施。油质应定期检验并作好记录。油库周围，不应安装、修造电气设备。油库区应设避雷装置。</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脱硫剂的使用，应遵守下列规定：</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——采用CaC</w:t>
      </w:r>
      <w:r>
        <w:rPr>
          <w:rFonts w:hint="eastAsia" w:ascii="宋体" w:hAnsi="宋体" w:eastAsia="宋体" w:cs="宋体"/>
          <w:sz w:val="27"/>
          <w:szCs w:val="27"/>
          <w:vertAlign w:val="subscript"/>
        </w:rPr>
        <w:t>2</w:t>
      </w:r>
      <w:r>
        <w:rPr>
          <w:rFonts w:hint="eastAsia" w:ascii="宋体" w:hAnsi="宋体" w:eastAsia="宋体" w:cs="宋体"/>
          <w:sz w:val="28"/>
          <w:szCs w:val="28"/>
        </w:rPr>
        <w:t>与钝化镁作脱硫剂时，其贮粉仓应采用氮气保护；泄压时排出的粉尘应回收；该区域应防水、防火，脱硫站氮气供应源应有湿气分析和报警装置。</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——CaC</w:t>
      </w:r>
      <w:r>
        <w:rPr>
          <w:rFonts w:hint="eastAsia" w:ascii="宋体" w:hAnsi="宋体" w:eastAsia="宋体" w:cs="宋体"/>
          <w:sz w:val="27"/>
          <w:szCs w:val="27"/>
          <w:vertAlign w:val="subscript"/>
        </w:rPr>
        <w:t>2</w:t>
      </w:r>
      <w:r>
        <w:rPr>
          <w:rFonts w:hint="eastAsia" w:ascii="宋体" w:hAnsi="宋体" w:eastAsia="宋体" w:cs="宋体"/>
          <w:sz w:val="28"/>
          <w:szCs w:val="28"/>
        </w:rPr>
        <w:t>仓附近区域，应设乙炔检测和报警装置。钝化镁仓应设氧气检测和报警装置。</w:t>
      </w:r>
    </w:p>
    <w:p>
      <w:pPr>
        <w:keepNext/>
        <w:numPr>
          <w:ilvl w:val="1"/>
          <w:numId w:val="1"/>
        </w:numPr>
        <w:snapToGrid w:val="0"/>
        <w:spacing w:before="187" w:after="187"/>
        <w:ind w:left="993" w:hanging="352"/>
        <w:outlineLvl w:val="1"/>
        <w:rPr>
          <w:rFonts w:ascii="黑体" w:hAnsi="黑体" w:eastAsia="黑体"/>
          <w:sz w:val="28"/>
          <w:szCs w:val="28"/>
        </w:rPr>
      </w:pPr>
      <w:bookmarkStart w:id="16" w:name="_Toc85809986"/>
      <w:r>
        <w:rPr>
          <w:rFonts w:hint="eastAsia" w:ascii="黑体" w:hAnsi="黑体" w:eastAsia="黑体"/>
          <w:sz w:val="28"/>
          <w:szCs w:val="28"/>
        </w:rPr>
        <w:t>涉氨（制冷、分解）企业管理要求</w:t>
      </w:r>
      <w:bookmarkEnd w:id="16"/>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氨分解炉区域与其他作业场所应进行有效的防火分隔；冷库的库房与加工车间贴临建造时，应采用防火墙分隔，当确需开设相互连通的人行开口时，应采用防火隔间措施进行分隔；员工宿舍不应与氨制冷机房、冷库或其他厂房、仓库设置在同一座建筑物内。</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氨制冷机房和变配电所的门应采用平开门并向外开启。氨制冷机房、配电室和控制室之间连通的门均应为乙级防火门。</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依照《爆炸危险环境电力装置设计规范》要求液氨储存区域和氨分解炉区域电气设施应满足电气防爆要求。</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依照《国家安全监管总局关于公布首批重点监管的危险化学品名录的通知》要求液氨储存区域和氨分解炉区域应设置氨气泄漏检测报警仪，使用和储存氨场所应设置防爆型的通风设备。</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依照《氢气站设计规范》氨分解炉区域及分解混合气使用区域应设置氢气泄漏报警装置，使用场所应设置防爆型的通风设备。</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按《电气装置安装工程接地装置施工及验收规范》要求氨分解炉应做可靠接地。</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液氨储罐出口需安装有减压阀，或氨分解炉设备前端安装气化器。</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氨分解设备中冷却器后宜设置放空阀旁路，方便停炉时分解氨的混合气排放，放空管应导引至室外安全处，放空管宜设置阻火器，放空管管口宜高出屋脊1m。</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进入车间的氢氮混合气管道宜设置切断阀；氨分解炉进气管道和出气管道上应设置符合量程要求的压力表。</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氨分解炉、热交换器处应设置防护网。</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涉氨制冷厂区、库区应按《建筑设计防火规范》、《消防给水及消火栓系统技术规范》的有关要求设置室外消防给水系统，并按规定要求设置一定数量的室外消火栓（市政消火栓或消防水池可作为室外消火栓），其保护半径不应小于150m。</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在氨制冷机房门口外侧便于操作的位置，应设置切断制冷系统电源的紧急控制装置，并应设置警示标识。</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制冷系统用压力容器、加氨站集管，以及氨液体、气体分配站集管和空气分离器的回气管，均应安装氨专用压力表。安装位置距操作者直线距离不应超过3m，且应清晰可见。</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氨制冷机房应设置防爆型事故排风机，排风量应按设计要求确定。在控制室排风机控制柜上和制冷机房门口外墙上应安装人工启停控制按钮，排风机应能通过气体浓度报警装置的报警信号自动开启，又能人工控制启停。</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设于室外的氨制冷机组、贮氨器应有通风良好的遮阳设施。</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氨制冷机房应设置氨气浓度报警装置。氨气浓度传感器应安装在氨制冷机组、氨泵及贮氨器的上方。</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冷凝器应设冷凝压力超压报警装置。水冷冷凝器应设断水报警装置；蒸发式冷凝器应增设压力表、安全阀及风机故障报警装置。</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冷凝器、贮液器、低压循环桶、中间冷却器等制冷辅助设备上应设置安全阀。</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氨制冷系统安全阀的泄压管出口应高于周围50m范围内最高建筑物（冷库除外）的屋脊5m，并应采取防止雷击、防止雨水和杂物落入泄压管内的措施，不能满足上述要求时，泄压管排出的氨气应做无害化处理。</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对于配置氨泄漏事故紧急处置装置的氨制冷系统,系统内所有液体容积超过0.2m</w:t>
      </w:r>
      <w:r>
        <w:rPr>
          <w:rFonts w:hint="eastAsia" w:ascii="宋体" w:hAnsi="宋体" w:eastAsia="宋体" w:cs="宋体"/>
          <w:sz w:val="28"/>
          <w:szCs w:val="28"/>
          <w:vertAlign w:val="superscript"/>
        </w:rPr>
        <w:t>3</w:t>
      </w:r>
      <w:r>
        <w:rPr>
          <w:rFonts w:hint="eastAsia" w:ascii="宋体" w:hAnsi="宋体" w:eastAsia="宋体" w:cs="宋体"/>
          <w:sz w:val="28"/>
          <w:szCs w:val="28"/>
        </w:rPr>
        <w:t>的设备和(或)管段内的氨液都应能通过紧急泄氨管排入吸纳水池(水箱)或紧急回收装置,吸纳水池(水箱)的氨液吸纳量或回收装置的氨液回收量不应小于制冷系统内的氨液充注量,并应能在泄漏事故发生时立即启动人工或自动装置紧急处置。</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分离器、低压循环桶、低压储液器、中间冷却器和满液式经济器应设置液位指示器和液位控制、报警装置。贮液器应设液位指示器。</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制冷压缩机的高压排气管道和制冷剂泵出液口，均应设置止回阀。</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冷凝器与贮液器之间应设均压管。两台以上贮液器之间应分别设其气体均压管、液体平衡管（阀）。</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制冷剂液面指示器进出口应设置自动闭塞装置。</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在强制供液制冷系统中，泵的出口侧应设置自动旁通阀。</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快速冻结装置应设置在单独的作业间内，作业间应结构完整，且作业间内同一时间作业人员人数不应超过9人。安装有氨制冷快速冻结装置的作业间内应设置防爆型事故排风机及氨气浓度报警装置。</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包装间、分割间、产品整理间等人员较多的生产场所的空调系统不应采用氨直接蒸发制冷系统。</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涉氨企业应至少配备两套正压式空气呼吸器、长管式防毒面具、重型防护服等防护器具；液氨储存区应备有泄漏应急处理设备，液氨储罐上方宜设置水喷淋系统，并选用开式喷头，开式喷头保护面积按液氨储罐占地面积确定。</w:t>
      </w:r>
    </w:p>
    <w:p>
      <w:pPr>
        <w:keepNext/>
        <w:numPr>
          <w:ilvl w:val="1"/>
          <w:numId w:val="1"/>
        </w:numPr>
        <w:snapToGrid w:val="0"/>
        <w:spacing w:before="187" w:after="187"/>
        <w:ind w:left="993" w:hanging="352"/>
        <w:outlineLvl w:val="1"/>
        <w:rPr>
          <w:rFonts w:ascii="黑体" w:hAnsi="黑体" w:eastAsia="黑体"/>
          <w:sz w:val="28"/>
          <w:szCs w:val="28"/>
        </w:rPr>
      </w:pPr>
      <w:bookmarkStart w:id="17" w:name="_Toc85809987"/>
      <w:r>
        <w:rPr>
          <w:rFonts w:hint="eastAsia" w:ascii="黑体" w:hAnsi="黑体" w:eastAsia="黑体"/>
          <w:sz w:val="28"/>
          <w:szCs w:val="28"/>
        </w:rPr>
        <w:t>喷涂企业管理要求</w:t>
      </w:r>
      <w:bookmarkEnd w:id="17"/>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不得使用淘汰的化学品（如含苯涂料和稀释剂等）和淘汰的工艺（如火焰法除旧漆等）进行喷涂作业。因特殊工艺要求不得不选用时，应向当地主管部门申请报告并得到批准，报告内容包括安全评价和防护措施。</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喷漆室、调漆室、烘干室和油漆（溶剂）仓库（中间仓库）内严禁设置人员办公室、休息室。喷漆室应设有机械通风和漆雾净化装置。</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油漆喷涂作业场所的厂房一般采用单层建筑或独立厂房。如布置在多层建筑物内，宜布置在建筑物上层。如布置在多跨厂房内，宜布置在外边跨或同跨的顶端。喷涂作业场所、烘房与周边作业区的隔墙不得使用非阻燃材料，与相邻车间之间的隔墙应为不燃烧体的实体墙，隔墙上的门亦应是不燃烧体。</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油漆喷涂作业场所作为单独一个防火分区时，应设不少于2个安全出口，设置常闭式防火门并应向外开，且保持畅通。喷涂作业场所的门应向外开，其内部的通道宽度应不小于1.2m。疏散通道不得被占用。</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喷涂作业场所、油漆（溶剂）仓库（中间仓库）内不得进行调漆和油漆（溶剂）分（换）装等作业。</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进入烘干室的涂漆工件不得有余漆滴落。</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自然干燥的涂漆工件应放在通风良好的场所。如放在室内，应设专用室存放；如放在室外，周围5m范围内不得有明火或火花。</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喷涂作业中不得使用无导静电性能的塑料容器、管道和油抽等设备设施。</w:t>
      </w:r>
    </w:p>
    <w:p>
      <w:pPr>
        <w:keepNext/>
        <w:numPr>
          <w:ilvl w:val="1"/>
          <w:numId w:val="1"/>
        </w:numPr>
        <w:snapToGrid w:val="0"/>
        <w:spacing w:before="187" w:after="187"/>
        <w:ind w:left="993" w:hanging="352"/>
        <w:outlineLvl w:val="1"/>
        <w:rPr>
          <w:rFonts w:ascii="黑体" w:hAnsi="黑体" w:eastAsia="黑体"/>
          <w:sz w:val="28"/>
          <w:szCs w:val="28"/>
        </w:rPr>
      </w:pPr>
      <w:bookmarkStart w:id="18" w:name="_Toc85809988"/>
      <w:r>
        <w:rPr>
          <w:rFonts w:hint="eastAsia" w:ascii="黑体" w:hAnsi="黑体" w:eastAsia="黑体"/>
          <w:sz w:val="28"/>
          <w:szCs w:val="28"/>
        </w:rPr>
        <w:t>电镀企业管理要求</w:t>
      </w:r>
      <w:bookmarkEnd w:id="18"/>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通风装置的设置应根据有害物的特性和散发规律，工艺设备的结构及其操作特点，合理地确定排风罩的型式和安装方式，在不影响生产操作的情况下尽可能设置密闭排风罩，保证在排风口处具有7m/s～10m/s的风速。</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生产过程中的排风系统设置应遵循的原则如下：</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——各类槽子与喷砂机的排风不能合并；</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——严禁氰化物槽与酸槽的排风合并，而氰化物槽与碱槽的排风可以合并；</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——铬酸槽、硝酸槽的排风应各自单独设置；</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——有机溶剂除油槽不能与其他槽体的排风合并，应设置单独的排风系统并考虑防火防爆措施。</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排风口应设置缓冲装置，气体不可直接排出，风管顶部应有帽盖，且排风口应高于屋面5m。</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工艺槽有害气体的排风管应采用防腐材料制作，弱碱槽和热水槽的排风系统的户外管段也可采用镀锌薄钢板。</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排风总管应有不小于0.005的排水坡度，并在风管的最低点和通风机的底部采取排水措施，如果排出的液体有毒，应排入相应的废水池，并进一步加以处理。</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氰化槽和有机溶剂槽的排风系统，其风管的正压段不应穿过其它房间。</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通风机与风管连接时，要使空气在进出风机时尽可能均匀一致，不要有方向或速度的突然变化。</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溶剂除油操作安全：</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——工件清洗现场的防静电应符合《防止静电事故通用导则》的要求。</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——工件清洗现场，溶剂存放量不应超过半班次的使用量。</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——工件清洗现场应在单独的场所，室内严禁明火及其他火种。</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——工件清洗地点应避免阳光直接照射，盛放溶剂的容器应加盖，且溶剂量不应超过容器体积的2/3。</w:t>
      </w:r>
    </w:p>
    <w:p>
      <w:pPr>
        <w:snapToGrid w:val="0"/>
        <w:spacing w:line="360" w:lineRule="auto"/>
        <w:ind w:firstLine="560" w:firstLineChars="200"/>
        <w:jc w:val="left"/>
        <w:rPr>
          <w:rFonts w:ascii="仿宋" w:hAnsi="仿宋" w:eastAsia="仿宋"/>
          <w:sz w:val="28"/>
          <w:szCs w:val="28"/>
        </w:rPr>
      </w:pPr>
      <w:r>
        <w:rPr>
          <w:rFonts w:hint="eastAsia" w:ascii="宋体" w:hAnsi="宋体" w:eastAsia="宋体" w:cs="宋体"/>
          <w:sz w:val="28"/>
          <w:szCs w:val="28"/>
        </w:rPr>
        <w:t>——工件应以干燥状态进行工序操作</w:t>
      </w:r>
      <w:r>
        <w:rPr>
          <w:rFonts w:ascii="仿宋" w:hAnsi="仿宋" w:eastAsia="仿宋"/>
          <w:sz w:val="28"/>
          <w:szCs w:val="28"/>
        </w:rPr>
        <w:t>。</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碱性除油操作安全：</w:t>
      </w:r>
    </w:p>
    <w:p>
      <w:pPr>
        <w:snapToGrid w:val="0"/>
        <w:spacing w:line="360" w:lineRule="auto"/>
        <w:ind w:firstLine="560" w:firstLineChars="200"/>
        <w:jc w:val="left"/>
        <w:rPr>
          <w:rFonts w:ascii="宋体" w:hAnsi="宋体" w:eastAsia="宋体" w:cs="宋体"/>
          <w:sz w:val="28"/>
          <w:szCs w:val="28"/>
        </w:rPr>
      </w:pPr>
      <w:r>
        <w:rPr>
          <w:rFonts w:ascii="仿宋" w:hAnsi="仿宋" w:eastAsia="仿宋"/>
          <w:sz w:val="28"/>
          <w:szCs w:val="28"/>
        </w:rPr>
        <w:t>——</w:t>
      </w:r>
      <w:r>
        <w:rPr>
          <w:rFonts w:hint="eastAsia" w:ascii="宋体" w:hAnsi="宋体" w:eastAsia="宋体" w:cs="宋体"/>
          <w:sz w:val="28"/>
          <w:szCs w:val="28"/>
        </w:rPr>
        <w:t>工件挂入碱性槽液时，应使用专用工具，不应用手操作。</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——用铁丝筐装工件除油时，工件不应高于篮筐高度的2/3。</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——手工操作电解除油处理时，放入工件时，应先将电源关闭，放好挂具后，再开电源；取出工件时，应先将电源关闭后，再取出挂件。</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——定期清除槽液上的薄层泡沫，以防爆炸。</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——添加氢氧化钠时，应将成块的氢氧化钠破碎后装在铁丝筐中，然后放入冷水中溶解后再添加入槽。</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侵蚀处理操作安全：</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——操作过程中应严格控制化学反应所产生的温升。</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酸、碱液操作安全：</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——搬运酸液或碱液前，应检查外包装是否完整。</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——酸液或碱液的运输和使用应采用专用设备。</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——配制或稀释酸液时，应使用冷水，不应用热水。</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氰化电镀操作安全：</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——应定期检查通风系统运行是否正常。在操作前，应打开通风设备通风15min以上，通风机出现故障，应停止操作。</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——所有氰化槽应尽量远离酸槽，镀前侵蚀工序后，工件尤其是形状复杂的工件应清洗干净，防止将酸带入槽内形成剧毒氰化氢气体；氰化镀后的清洗槽应为专用槽。</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——采用蒸汽加热系统的含氰化合物的槽体（包括清洗槽），其尾气管路不应和其他非工业用途的蒸汽管路连通。</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——清洗阳极板时，应使用冲洗，不应用擦干处理。阳极棒和阴极棒不应采用酸直接清洗方法，宜将极棒取下后清洗。</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——掉入槽内的工件不应用手捞出，而应使用专用工具。</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——所有称量、运输氰化物的应为专用器具，并应在明显处标注剧毒标记，称量应在通风良好的条件下进行。</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——存放氰化物或含氰液的场地，应通风良好，氰化物或含氰液不应与酸摆放在一起。</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——所有已使用过的工具及仪器，用后宜用5%绿矾（FeSO</w:t>
      </w:r>
      <w:r>
        <w:rPr>
          <w:rFonts w:ascii="宋体" w:hAnsi="宋体" w:eastAsia="宋体" w:cs="宋体"/>
          <w:sz w:val="28"/>
          <w:szCs w:val="28"/>
          <w:vertAlign w:val="subscript"/>
        </w:rPr>
        <w:t>4</w:t>
      </w:r>
      <w:r>
        <w:rPr>
          <w:rFonts w:hint="eastAsia" w:ascii="宋体" w:hAnsi="宋体" w:eastAsia="宋体" w:cs="宋体"/>
          <w:sz w:val="28"/>
          <w:szCs w:val="28"/>
        </w:rPr>
        <w:t>·7H</w:t>
      </w:r>
      <w:r>
        <w:rPr>
          <w:rFonts w:hint="eastAsia" w:ascii="宋体" w:hAnsi="宋体" w:eastAsia="宋体" w:cs="宋体"/>
          <w:sz w:val="28"/>
          <w:szCs w:val="28"/>
          <w:vertAlign w:val="subscript"/>
        </w:rPr>
        <w:t>2</w:t>
      </w:r>
      <w:r>
        <w:rPr>
          <w:rFonts w:hint="eastAsia" w:ascii="宋体" w:hAnsi="宋体" w:eastAsia="宋体" w:cs="宋体"/>
          <w:sz w:val="28"/>
          <w:szCs w:val="28"/>
        </w:rPr>
        <w:t>O）的溶液进行消毒。</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——存放剧毒品、毒品、腐蚀试剂的包装袋、玻璃器皿等用完料后，应专人妥善保管、集中销毁。</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槽液配置安全操作：</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——镀液的配置和调整，应严格按照工艺要求操作，由专门操作人员在技术人员指导下进行。</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——槽液混合作业时，添加槽液应缓慢加入，同时进行充分搅拌。</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——配置溶液时，应在通风条件良好的地方进行。</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——在进行药品溶解操作时，易产生溶解热的化学药品应在耐热玻璃器皿内溶解。</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——镀液配置和调整时，一般将固体化学药品在槽外溶解后再慢慢加入槽内，不应将固体化学药品直接投入槽液中。</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——氢氟酸不应置于玻璃器皿内，以防止玻璃被腐蚀而造成事故。</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——不应用浓酸、浓碱直接加入槽液调整其pH值。</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其他安全操作：</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——在化学镀镍操作中，操作者应穿戴耐热耐酸耐碱手套；化学镀镍的废槽液应有集中处理措施。</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——在化学镀铜操作中，采用银盐活化工艺的，银盐活化液的储存容器不能封闭太严，以防爆炸。</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——在有使用水合肼的槽液操作中，因其易挥发、有毒，应加强通风，防止槽液接触皮肤。</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——采用手工操作时，镀件入槽要轻，出槽要慢，要防止槽液飞溅伤人。</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操作人员应穿戴好防护用品再进入电镀操作岗位。在有毒气体可能逸出的场所，所有电镀操作人员应穿戴防护工作服、胶靴、手套；溶液配置或调整、运输和使用酸碱溶液等场所，操作人员应戴长胶裙、护目镜和乳胶手套；在设备维护时，清洗阳极板时应戴耐酸耐碱手套，并防止极板的金属毛刺和碎片刺伤皮肤。所穿戴的防护用品不应穿离工作场所。</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——操作人员暂时离开电镀生产岗位时，应充分洗涤手部、面部、漱口、更衣；特别是接触氰化等剧毒品的，应进行消毒处理；每班生产结束之后，应沐浴更衣。</w:t>
      </w:r>
    </w:p>
    <w:p>
      <w:pPr>
        <w:keepNext/>
        <w:numPr>
          <w:ilvl w:val="1"/>
          <w:numId w:val="1"/>
        </w:numPr>
        <w:snapToGrid w:val="0"/>
        <w:spacing w:before="187" w:after="187"/>
        <w:ind w:left="993" w:hanging="352"/>
        <w:outlineLvl w:val="1"/>
        <w:rPr>
          <w:rFonts w:ascii="黑体" w:hAnsi="黑体" w:eastAsia="黑体"/>
          <w:sz w:val="28"/>
          <w:szCs w:val="28"/>
        </w:rPr>
      </w:pPr>
      <w:bookmarkStart w:id="19" w:name="_Toc85809989"/>
      <w:r>
        <w:rPr>
          <w:rFonts w:hint="eastAsia" w:ascii="黑体" w:hAnsi="黑体" w:eastAsia="黑体"/>
          <w:sz w:val="28"/>
          <w:szCs w:val="28"/>
        </w:rPr>
        <w:t>印染企业管理要求</w:t>
      </w:r>
      <w:bookmarkEnd w:id="19"/>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原材料和生产成品应存放在堆场或仓库内。原料、成品仓库或堆场与烟囱、明火作业场所的距离不得小于30m；烟囱高度超过30m，其间距应按烟囱高度计算。</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漂白剂储存仓库、设施应达到国家安全技术标准规定，应设置明显标志和安全防护区域。</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应设置建筑防火防爆分隔和遮挡强光、机械通风等设施，相抵触的或发生化学反应的物质应分开存放，切忌混储，防止包装及容器损坏。</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纱、线、织物加工的烧毛、开幅、烘干等热定型工艺的汽化室、燃气贮罐、储油罐、热媒炉等未与生产加工、人员密集场所明确分开或单独设置。</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保险粉、双氧水、亚氯酸钠、雕白粉(吊白块)等危险品禁止与禁忌物料混合贮存。</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生化处理或者物化处理的处理池应当采用钢筋混凝土材料或者防酸碱耐腐蚀的材料。</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各类酸、碱、氧化剂、还原剂、染化料等贮存槽、池和污水处理等处的平台、栏杆及栅栏应当采用防酸碱耐腐蚀的材料，符合防坠落、防跌滑等安全要求。并定期做好检查、维修和保养。</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使用、贮存酸、碱、氧化剂、还原剂等腐蚀性的印染及整理专用设备、容器、管道必须完整无损，防范有效。贮存管口必须防腐、加盖、上锁，安全标志应齐全、醒目。</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车间应当设置排水、防水措施，地面应具有向排水沟或者有地漏的坡度。溢水多的印染及整理专用设备位于楼层时，设备下部应设集水盘。</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专用设备的电缆、电气动力配线和照明电线应当使用线槽或者线管架空设置。电气设备、装置和移动电具等应当具有防水、防潮、防触电和漏电保护装置，并有效接地。</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烧毛、开幅，烘干等定型工艺的汽化室、燃气贮罐、储油罐、热媒炉等应与生产加工、人员密集场所分开或者单独设置。</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在有爆炸危险的厂房内，应采用防爆型设备通风，风道宜按楼层分别设置；不同火灾危险类别的生产厂房送排风设备不应设在同一机房内。</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排出容易引起火灾或爆炸危险的可燃气体、可燃粉尘的场所，应避免直接采用排风，宜采用带有喷淋装置的通风设备。</w:t>
      </w:r>
    </w:p>
    <w:p>
      <w:pPr>
        <w:keepNext/>
        <w:numPr>
          <w:ilvl w:val="1"/>
          <w:numId w:val="1"/>
        </w:numPr>
        <w:snapToGrid w:val="0"/>
        <w:spacing w:before="187" w:after="187"/>
        <w:ind w:left="993" w:hanging="352"/>
        <w:outlineLvl w:val="1"/>
        <w:rPr>
          <w:rFonts w:ascii="黑体" w:hAnsi="黑体" w:eastAsia="黑体"/>
          <w:sz w:val="28"/>
          <w:szCs w:val="28"/>
        </w:rPr>
      </w:pPr>
      <w:bookmarkStart w:id="20" w:name="_Toc85809990"/>
      <w:r>
        <w:rPr>
          <w:rFonts w:hint="eastAsia" w:ascii="黑体" w:hAnsi="黑体" w:eastAsia="黑体"/>
          <w:sz w:val="28"/>
          <w:szCs w:val="28"/>
        </w:rPr>
        <w:t>涂布（涂层）企业管理要求</w:t>
      </w:r>
      <w:bookmarkEnd w:id="20"/>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涂布车间、物料仓库等场所的爆炸危险区域应规范划分，爆炸危险区域内的布线和所用设备应符合该区域的防火防爆要求。</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涂布车间、烘干室等的所有导电部件、排气管、涂布设备、被涂布的工件、供胶容器及输胶管路均应可靠接地，电气设备外壳必须接地，并定期进行检测。应严格控制涂布车间、调胶房的温湿度。</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供胶系统应放置在涂布间外，单独隔离，并满足《建筑设计防火规范》的规定。</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烘干室的相关烘干设备符合《烘干设备安全性能检测方法》的规定。</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烘干室应保证良好的通风，防止易燃易爆气体积聚。</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涂布车间、烘干室等的废气净化装置应符合《涂装作业安全规程 有机废气净化装置安全技术规定》要求；排气筒的防雷措施应符合《建筑物防雷设计规范》的规定。</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涂布车间、烘干室、物料仓库内涉及易燃易爆有毒有害物料的场所，根据规范要求设置气体浓度检测报警装置，将信号引入有人值守的控制室，并进行现场声光报警。</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涂布车间、物料仓库应设立防火标志，应禁止明火取热。</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溶胶釜等涂布设备操作人员应按设备技术与维护要求，做好日常检查工作。检查内容主要包括以下方面：</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——通风系统运行是否正常。</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——设备外部是否有外力损伤或变形。</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——设备、管路连接是否松动。</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——自动联锁控制和信号、报警装置是否完整有效。</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——防爆电气设备及防爆照明灯具是否完整与运行正常。</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——胶垢、粉尘及现场杂物等是否及时清除。</w:t>
      </w:r>
    </w:p>
    <w:p>
      <w:pPr>
        <w:keepNext/>
        <w:numPr>
          <w:ilvl w:val="1"/>
          <w:numId w:val="1"/>
        </w:numPr>
        <w:snapToGrid w:val="0"/>
        <w:spacing w:before="187" w:after="187"/>
        <w:ind w:left="993" w:hanging="352"/>
        <w:outlineLvl w:val="1"/>
        <w:rPr>
          <w:rFonts w:ascii="黑体" w:hAnsi="黑体" w:eastAsia="黑体"/>
          <w:sz w:val="28"/>
          <w:szCs w:val="28"/>
        </w:rPr>
      </w:pPr>
      <w:bookmarkStart w:id="21" w:name="_Toc85809991"/>
      <w:r>
        <w:rPr>
          <w:rFonts w:hint="eastAsia" w:ascii="黑体" w:hAnsi="黑体" w:eastAsia="黑体"/>
          <w:sz w:val="28"/>
          <w:szCs w:val="28"/>
        </w:rPr>
        <w:t>真空镀膜（化学气相沉积法）企业管理要求</w:t>
      </w:r>
      <w:bookmarkEnd w:id="21"/>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供气间等场所的爆炸危险区域应按照《爆炸危险环境电力装置设计规范》的规定划分，在此区域内的布线和所用设备应符合该区域的防火防爆要求。</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供气间等属于易燃易爆场所的入口应设置人体静电导除设施。与易燃物料有关的沉积槽等设备设施应进行静电接地，并定期进行检测。</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车间设计送排风时，排风系统的风管要布置在产生或接近危险气源的位置，如全自动特气柜等位置。</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送风方式一般采用顶部送风，排风方式有底部排风顶部排风及上下同时排风三种。根据全面通风的气流组织方式，最好采用上下同时排风。若发生火灾，供风、排风系统的空调和整个生产系统都应该停止工作，送排风系统管路穿越防火区时要安装防火阀。排风管的防雷措施应符合《建筑物防雷设计规范》的规定。</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涉及易燃易爆有毒有害物料的场所，根据规范要求设置气体浓度检测报警装置，将信号引入有人值守的控制室，并进行现场声光报警。</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作业场所应规范配置消防设施和火灾报警联动控制系统。报警系统和消防系统进行连锁，接到消防系统的火警信号时，根据火警信号的来源不同，采取相应的动作。</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化学沉积气相镀膜车间、供气间设备设施（如沉积槽）操作人员应按设备技术与维护要求，做好日常检查工作。检查内容主要包括以下方面：</w:t>
      </w:r>
    </w:p>
    <w:p>
      <w:pPr>
        <w:snapToGrid w:val="0"/>
        <w:spacing w:line="360" w:lineRule="auto"/>
        <w:ind w:left="479" w:leftChars="228"/>
        <w:rPr>
          <w:rFonts w:ascii="宋体" w:hAnsi="宋体" w:eastAsia="宋体" w:cs="宋体"/>
          <w:sz w:val="28"/>
          <w:szCs w:val="28"/>
        </w:rPr>
      </w:pPr>
      <w:r>
        <w:rPr>
          <w:rFonts w:hint="eastAsia" w:ascii="宋体" w:hAnsi="宋体" w:eastAsia="宋体" w:cs="宋体"/>
          <w:sz w:val="28"/>
          <w:szCs w:val="28"/>
        </w:rPr>
        <w:t>——通风系统运行是否正常。</w:t>
      </w:r>
    </w:p>
    <w:p>
      <w:pPr>
        <w:snapToGrid w:val="0"/>
        <w:spacing w:line="360" w:lineRule="auto"/>
        <w:ind w:left="479" w:leftChars="228"/>
        <w:rPr>
          <w:rFonts w:ascii="宋体" w:hAnsi="宋体" w:eastAsia="宋体" w:cs="宋体"/>
          <w:sz w:val="28"/>
          <w:szCs w:val="28"/>
        </w:rPr>
      </w:pPr>
      <w:r>
        <w:rPr>
          <w:rFonts w:hint="eastAsia" w:ascii="宋体" w:hAnsi="宋体" w:eastAsia="宋体" w:cs="宋体"/>
          <w:sz w:val="28"/>
          <w:szCs w:val="28"/>
        </w:rPr>
        <w:t>——设备外部是否有外力损伤或变形。</w:t>
      </w:r>
    </w:p>
    <w:p>
      <w:pPr>
        <w:snapToGrid w:val="0"/>
        <w:spacing w:line="360" w:lineRule="auto"/>
        <w:ind w:left="479" w:leftChars="228"/>
        <w:rPr>
          <w:rFonts w:ascii="宋体" w:hAnsi="宋体" w:eastAsia="宋体" w:cs="宋体"/>
          <w:sz w:val="28"/>
          <w:szCs w:val="28"/>
        </w:rPr>
      </w:pPr>
      <w:r>
        <w:rPr>
          <w:rFonts w:hint="eastAsia" w:ascii="宋体" w:hAnsi="宋体" w:eastAsia="宋体" w:cs="宋体"/>
          <w:sz w:val="28"/>
          <w:szCs w:val="28"/>
        </w:rPr>
        <w:t>——设备、管路连接是否松动。</w:t>
      </w:r>
    </w:p>
    <w:p>
      <w:pPr>
        <w:snapToGrid w:val="0"/>
        <w:spacing w:line="360" w:lineRule="auto"/>
        <w:ind w:left="479" w:leftChars="228"/>
        <w:rPr>
          <w:rFonts w:ascii="宋体" w:hAnsi="宋体" w:eastAsia="宋体" w:cs="宋体"/>
          <w:sz w:val="28"/>
          <w:szCs w:val="28"/>
        </w:rPr>
      </w:pPr>
      <w:r>
        <w:rPr>
          <w:rFonts w:hint="eastAsia" w:ascii="宋体" w:hAnsi="宋体" w:eastAsia="宋体" w:cs="宋体"/>
          <w:sz w:val="28"/>
          <w:szCs w:val="28"/>
        </w:rPr>
        <w:t>——自动联锁控制和信号、报警装置是否完整有效。</w:t>
      </w:r>
    </w:p>
    <w:p>
      <w:pPr>
        <w:snapToGrid w:val="0"/>
        <w:spacing w:line="360" w:lineRule="auto"/>
        <w:ind w:left="479" w:leftChars="228"/>
        <w:rPr>
          <w:rFonts w:ascii="宋体" w:hAnsi="宋体" w:eastAsia="宋体" w:cs="宋体"/>
          <w:sz w:val="28"/>
          <w:szCs w:val="28"/>
        </w:rPr>
      </w:pPr>
      <w:r>
        <w:rPr>
          <w:rFonts w:hint="eastAsia" w:ascii="宋体" w:hAnsi="宋体" w:eastAsia="宋体" w:cs="宋体"/>
          <w:sz w:val="28"/>
          <w:szCs w:val="28"/>
        </w:rPr>
        <w:t>——防爆电气设备及防爆照明灯具是否完整与运行正常。</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化学沉积气相镀膜车间、供气间内的压力管道、压力容器等特种设备应符合国家相关规定，定期检验检测。</w:t>
      </w:r>
    </w:p>
    <w:p>
      <w:pPr>
        <w:keepNext/>
        <w:numPr>
          <w:ilvl w:val="1"/>
          <w:numId w:val="1"/>
        </w:numPr>
        <w:snapToGrid w:val="0"/>
        <w:spacing w:before="187" w:after="187"/>
        <w:ind w:left="993" w:hanging="352"/>
        <w:outlineLvl w:val="1"/>
        <w:rPr>
          <w:rFonts w:ascii="黑体" w:hAnsi="黑体" w:eastAsia="黑体"/>
          <w:sz w:val="28"/>
          <w:szCs w:val="28"/>
        </w:rPr>
      </w:pPr>
      <w:bookmarkStart w:id="22" w:name="_Toc85809992"/>
      <w:r>
        <w:rPr>
          <w:rFonts w:hint="eastAsia" w:ascii="黑体" w:hAnsi="黑体" w:eastAsia="黑体"/>
          <w:sz w:val="28"/>
          <w:szCs w:val="28"/>
        </w:rPr>
        <w:t>发泡企业管理要求</w:t>
      </w:r>
      <w:bookmarkEnd w:id="22"/>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烃类发泡剂必须贮存在阴凉、通风良好、离火种及热源不小于30m的地方，最高罐温不宜超过30℃，超过其温度采用冷水降温及其它降温措施，防止阳光直射。</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烃类发泡剂贮罐须安装接地装置，贮罐库区必须按照易燃液体贮罐库的要求安装独立式避雷针。环烃类储罐输料泵、输运管道、储罐遮棚构架、预混机、混合料中间料罐、混合料输料泵、混合料输运管道、生产线平台、注料枪头注料工位构架、吊运设备、相关的电控装置和排风装置都必须牢靠接地，模具、模架和输运装置也应尽量接地。所有应接地的设备和设施上的接触电阻较大的法兰连接、压接部位都必须用防静电短接线连接。烃类储罐和输运管道、预混机的接地应采取等电位连接，其他设备和设施的防静电接地电阻值不应大于10Ω。</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烃类发泡剂贮罐仓库保管员要做好贮存统计和贮罐压力记录等。</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烃类发泡剂的输送应使用易燃易爆液体送料专用管。</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通风设备应符合国家防爆电气标准的有关要求并具有国家认可机构颁发的防爆合格证；通风管道应采用防静电的阻燃织物或金属制成，并应良好接地。</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排风系统应遵循“上进新风下排风”的原则，排风口应尽量贴近地面和可能的泄漏点，排风口的下边沿距地面的高度应不超过100mm。围房和相对密闭的房间上部应设置新风入口，如入口位置在危险区工房内，入口高度应高出危险区1.5m以上。</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排风机或通风管道应有检测装置，能显示排风机是否工作正常。排风系统应装置风压开关或风流开关，当排风系统未开动时，不能启动相关设备，当运行中排风系统出现故障时，应报警并延时切断相关电源和停止相关设备的运行。排风机采用双电源切换箱供电切换箱电源分别来自厂房内不同变压器提供的电源回路或者采用备用电源给风机供电。</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注料区和固化炉应设置可靠的排风系统，各排风系统宜相对独立，排风系统应24h处于工作状态。</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储罐区通排风系统可采取下列措施：</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——良好的自然通风；</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——在地罐人孔和卸料入口、输料出口的主要易泄漏环戊烷的位置设置抽排风装置；</w:t>
      </w:r>
    </w:p>
    <w:p>
      <w:pPr>
        <w:snapToGrid w:val="0"/>
        <w:spacing w:line="360" w:lineRule="auto"/>
        <w:ind w:left="479" w:leftChars="228"/>
        <w:rPr>
          <w:rFonts w:ascii="宋体" w:hAnsi="宋体" w:eastAsia="宋体" w:cs="宋体"/>
          <w:sz w:val="28"/>
          <w:szCs w:val="28"/>
        </w:rPr>
      </w:pPr>
      <w:r>
        <w:rPr>
          <w:rFonts w:hint="eastAsia" w:ascii="宋体" w:hAnsi="宋体" w:eastAsia="宋体" w:cs="宋体"/>
          <w:sz w:val="28"/>
          <w:szCs w:val="28"/>
        </w:rPr>
        <w:t>——风机风量的设计需满足排除泄漏气体的需要，确保不会向其他区域扩散或滞留；</w:t>
      </w:r>
    </w:p>
    <w:p>
      <w:pPr>
        <w:snapToGrid w:val="0"/>
        <w:spacing w:line="360" w:lineRule="auto"/>
        <w:ind w:left="479" w:leftChars="228"/>
        <w:rPr>
          <w:rFonts w:ascii="宋体" w:hAnsi="宋体" w:eastAsia="宋体" w:cs="宋体"/>
          <w:sz w:val="28"/>
          <w:szCs w:val="28"/>
        </w:rPr>
      </w:pPr>
      <w:r>
        <w:rPr>
          <w:rFonts w:hint="eastAsia" w:ascii="宋体" w:hAnsi="宋体" w:eastAsia="宋体" w:cs="宋体"/>
          <w:sz w:val="28"/>
          <w:szCs w:val="28"/>
        </w:rPr>
        <w:t>——可采用氮气喷头喷氮的方法来控制可燃气体达到爆炸下限。</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事故通风系统室外排风口应远离火源30m以上，距可能火花溅落地点应大于20m。</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事故排风机设置自动及手动控制，正常时处于自动工作模式。</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事故通风的通风机应分别在室内及靠近外门的外墙上设置电气开关。</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在储罐区、混料区、发泡生产线等可燃气体泄漏可能性较大或泄漏点较为集中的区域，应安装可燃气体探测器。可燃气体检测和报警系统应24h持续工作。可燃气体检测系统中的任何一只探测器检测到可燃气体浓度超标，应能提供报警输出。可燃气体探测器可采用红外光学型和和催化型两种类型，报警误差应小于±5%LEL。所选的探测器必须带有防爆标志以及证书，确保可以满足现场对于防爆等级的要求。</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探测器的安装位置需根据被测气体的密度，周围环境的气流方向，可能的泄漏点等因素，安装在可燃性气体易积聚，具代表性的地点。探测器检测头端面应朝下，离地距离不超过200mm，并应配置防雨(水)防风罩，隔爆片上严禁沾污、涂漆，以免堵塞气体扩散通道。</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安全监控报警系统和排风系统应采用可靠的供电电源：如采用自发电作备用电源或双回路供电等并应尽量采用自动切换装置。报警柜的控制电源应配备不间断供电装置，其容量至少能单独持续供电30min。</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烃类储罐宜设置其他安全监测设施，主要包括：充氮保护装置与压力报警装置、超高、低液位报警装置。</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电控柜、报警柜、照明、风扇等设施应具备相应的防爆等级，并符合《爆炸性环境 第1部分：设备 通用要求》的有关规定，尽量避免设置在1区。电器设备外壳防护等级不低于IP54，控制柜、接线盒、电气接头等必须密封可靠。危险区域的电气系统设计、安装、布线必须符合《爆炸危险环境电力装置设计规范》的有关规定。</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在危险区域内应设置可靠的避雷和消除静电的装置外，还应设置防止着火时相互串通和蔓延的阻火器、回止阀、截止阀等，具体要求应符合《建筑设计防火规范》的有关规定。</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烃类储罐和发泡生产区消火栓的配置及对消防供水的要求应符合《建筑设计防火规范》的有关规定，储存区应设置消火栓，单个消火栓的供水流量不应小于15L/s，供水压力不低于0.15MPa，必要时应增设消防水池、消防水泵等专用消防设施。</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预混站、发泡机、固化炉等危险区域也应配备足量的灭火器和灭火砂，应设置火灾报警装置和灭火装置，并应设立消防通道和安全疏散通道，发生火警时便于灭火抢险和迅速疏散人员。</w:t>
      </w:r>
    </w:p>
    <w:p>
      <w:pPr>
        <w:keepNext/>
        <w:numPr>
          <w:ilvl w:val="1"/>
          <w:numId w:val="1"/>
        </w:numPr>
        <w:snapToGrid w:val="0"/>
        <w:spacing w:before="187" w:after="187"/>
        <w:ind w:left="993" w:hanging="352"/>
        <w:outlineLvl w:val="1"/>
        <w:rPr>
          <w:rFonts w:ascii="黑体" w:hAnsi="黑体" w:eastAsia="黑体"/>
          <w:sz w:val="28"/>
          <w:szCs w:val="28"/>
        </w:rPr>
      </w:pPr>
      <w:bookmarkStart w:id="23" w:name="_Toc85809993"/>
      <w:r>
        <w:rPr>
          <w:rFonts w:ascii="黑体" w:hAnsi="黑体" w:eastAsia="黑体"/>
          <w:sz w:val="28"/>
          <w:szCs w:val="28"/>
        </w:rPr>
        <w:t>环氧乙烷灭菌企业管理要求</w:t>
      </w:r>
      <w:bookmarkEnd w:id="23"/>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环氧乙烷储存储存于阴凉、通风的易燃气体专用库房。库房温度不宜超过30℃。应与酸类、碱类、醇类、食用化学品分开存放，切忌混储。</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储存环氧乙烷的固定式储罐应符合以下要求：</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——环氧乙烷储罐应设置水冷却喷淋装置，并应有充足的水源提供；</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——尽量使操作温度范围在－10℃～20℃；</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——环氧乙烷储罐外保冷材料应采用不燃材料，厚度应根据保冷要求确定，保温外皮不得使用铝皮；</w:t>
      </w:r>
    </w:p>
    <w:p>
      <w:pPr>
        <w:snapToGrid w:val="0"/>
        <w:spacing w:line="360" w:lineRule="auto"/>
        <w:ind w:left="479" w:leftChars="228"/>
        <w:rPr>
          <w:rFonts w:ascii="宋体" w:hAnsi="宋体" w:eastAsia="宋体" w:cs="宋体"/>
          <w:sz w:val="28"/>
          <w:szCs w:val="28"/>
        </w:rPr>
      </w:pPr>
      <w:r>
        <w:rPr>
          <w:rFonts w:hint="eastAsia" w:ascii="宋体" w:hAnsi="宋体" w:eastAsia="宋体" w:cs="宋体"/>
          <w:sz w:val="28"/>
          <w:szCs w:val="28"/>
        </w:rPr>
        <w:t>——储罐的密封垫片应采用聚四氟乙烯材料，禁止使用石棉、橡胶材料。</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环氧乙烷储存、使用场所与其他部位应进行防火分隔，建筑耐火等级、防火间距符合《建筑设计防火规范》规定。</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环氧乙烷储存、使用场所与其他部位应规定防爆区内电气设施防爆等级；在爆炸危险环境内，电气设备的金属外壳应可靠接地。防爆区场所内部安装应按照《电气装置安装工程爆炸和火灾危险环境电气装置施工及验收》的要求施工，如排气源（如风扇）插头插座应防爆，排气罩口应接地。</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环氧乙烷储存、使用的仓库和厂房应按《建筑物防雷设计规范》的规定设置防雷设施，并按规定定期进行防雷检测。</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厂（车间）内的环氧乙烷设备、管道应参照按《化工企业静电接地设计技术规定》要求采取防静电措施，并在避雷保护范围之内。</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含有环氧乙烷的各类管道不宜从仪表控制室和劳动者经常停留或通过的辅助用室的空中和地下通过；若需通过时，应严格密闭，并应具备抗压、耐腐蚀等性能，以防止有害气体逸散至室内。</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若环氧乙烷灭菌器具有排气系统，环氧乙烷机器混合气体应通过排气系统进行无害处理；若环氧乙烷灭菌器本身无排气系统，应设计合适的排气系统以确保灭菌器及房间的环氧乙烷气体进行无害化处理。</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环氧乙烷灭菌系统宜采用充氮保护。</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环氧乙烷储存、灭菌系统应安装环氧乙烷气体检测报警装置，并应按《石油化工可燃气体和有毒气体检测报警设计标准》的要求设置两级报警。二级报警应与喷淋系统联动。</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环氧乙烷灭菌系统应设置压力检测报警装置，并与环氧乙烷管道切断阀联锁。</w:t>
      </w:r>
      <w:bookmarkStart w:id="25" w:name="_GoBack"/>
      <w:bookmarkEnd w:id="25"/>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环氧乙烷灭菌室应设置通风系统，通风气系统应安装报警装置，当检测到排气通风系统故障或者失能时应报警。排气通风系统宜与应急配电系统相连接。环氧乙烷灭菌室还应设置事故风机，事故风机应与气体检测报警器联锁。</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环氧乙烷钢瓶储存区应设置固定消防水喷淋系统，喷淋范围应能满足覆盖所有可能泄露环氧乙烷的钢瓶。</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在环氧乙烷储存和输送过程中，应注意防静电。</w:t>
      </w:r>
    </w:p>
    <w:p>
      <w:pPr>
        <w:keepNext/>
        <w:numPr>
          <w:ilvl w:val="1"/>
          <w:numId w:val="1"/>
        </w:numPr>
        <w:snapToGrid w:val="0"/>
        <w:spacing w:before="187" w:after="187"/>
        <w:ind w:left="993" w:hanging="352"/>
        <w:outlineLvl w:val="1"/>
        <w:rPr>
          <w:rFonts w:ascii="黑体" w:hAnsi="黑体" w:eastAsia="黑体"/>
          <w:sz w:val="28"/>
          <w:szCs w:val="28"/>
        </w:rPr>
      </w:pPr>
      <w:bookmarkStart w:id="24" w:name="_Toc85809994"/>
      <w:r>
        <w:rPr>
          <w:rFonts w:hint="eastAsia" w:ascii="黑体" w:hAnsi="黑体" w:eastAsia="黑体"/>
          <w:sz w:val="28"/>
          <w:szCs w:val="28"/>
        </w:rPr>
        <w:t>使用钢瓶装气体进行焊接、切割等作业的</w:t>
      </w:r>
      <w:r>
        <w:rPr>
          <w:rFonts w:ascii="黑体" w:hAnsi="黑体" w:eastAsia="黑体"/>
          <w:sz w:val="28"/>
          <w:szCs w:val="28"/>
        </w:rPr>
        <w:t>企业管理要求</w:t>
      </w:r>
      <w:bookmarkEnd w:id="24"/>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为了便于识别气瓶内的气体成分，气瓶必须按《气瓶颜色标志》规定做明显标志。其标识必须清晰、不易去除。标识模糊不清的气瓶禁止使用。</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使用乙炔、氢气、天然气、液化石油气等危险化学品气瓶（杜瓦瓶）应按照有关规范要求。保证气瓶相应压力表、减压阀等安全设施的完好；不同气瓶使用软管（管道）要分别不同颜色。</w:t>
      </w:r>
    </w:p>
    <w:p>
      <w:pPr>
        <w:numPr>
          <w:ilvl w:val="2"/>
          <w:numId w:val="1"/>
        </w:numPr>
        <w:snapToGrid w:val="0"/>
        <w:spacing w:line="360" w:lineRule="auto"/>
        <w:ind w:left="-8" w:firstLine="638"/>
        <w:rPr>
          <w:rFonts w:ascii="宋体" w:hAnsi="宋体" w:eastAsia="宋体" w:cs="宋体"/>
          <w:sz w:val="28"/>
          <w:szCs w:val="28"/>
        </w:rPr>
      </w:pPr>
      <w:r>
        <w:rPr>
          <w:rFonts w:ascii="宋体" w:hAnsi="宋体" w:eastAsia="宋体" w:cs="宋体"/>
          <w:sz w:val="28"/>
          <w:szCs w:val="28"/>
        </w:rPr>
        <w:t>乙炔钢瓶附近不得有氧化性物质，不得使用铜质器具；氧气钢瓶附近不得有油脂性物质和还原性物质。</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在气体用量集中的场合可以采用汇流排供气。乙炔气瓶和液化气气瓶必须在直立位置上汇流。与汇流排连接并供气的气瓶，其瓶内的压力应基本相等。</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为了保证作业人员在无害的呼吸氛围内工作，所有焊接、切割要在足够的通风条件下</w:t>
      </w:r>
      <w:r>
        <w:rPr>
          <w:rFonts w:ascii="宋体" w:hAnsi="宋体" w:eastAsia="宋体" w:cs="宋体"/>
          <w:sz w:val="28"/>
          <w:szCs w:val="28"/>
        </w:rPr>
        <w:t>(</w:t>
      </w:r>
      <w:r>
        <w:rPr>
          <w:rFonts w:hint="eastAsia" w:ascii="宋体" w:hAnsi="宋体" w:eastAsia="宋体" w:cs="宋体"/>
          <w:sz w:val="28"/>
          <w:szCs w:val="28"/>
        </w:rPr>
        <w:t>包括自然通风或机械通风</w:t>
      </w:r>
      <w:r>
        <w:rPr>
          <w:rFonts w:ascii="宋体" w:hAnsi="宋体" w:eastAsia="宋体" w:cs="宋体"/>
          <w:sz w:val="28"/>
          <w:szCs w:val="28"/>
        </w:rPr>
        <w:t>)</w:t>
      </w:r>
      <w:r>
        <w:rPr>
          <w:rFonts w:hint="eastAsia" w:ascii="宋体" w:hAnsi="宋体" w:eastAsia="宋体" w:cs="宋体"/>
          <w:sz w:val="28"/>
          <w:szCs w:val="28"/>
        </w:rPr>
        <w:t>进行。</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在封闭空间内实施焊接及切割时，气瓶及焊接电源必须放置在封闭空间的外面。同时使用两种气体进行焊接或切割时，不同气瓶减压器的出口端都应装上各自的单向阀，以防止气流相互倒灌。</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气瓶必须距离实际焊接或切割作业点足够远</w:t>
      </w:r>
      <w:r>
        <w:rPr>
          <w:rFonts w:ascii="宋体" w:hAnsi="宋体" w:eastAsia="宋体" w:cs="宋体"/>
          <w:sz w:val="28"/>
          <w:szCs w:val="28"/>
        </w:rPr>
        <w:t>(</w:t>
      </w:r>
      <w:r>
        <w:rPr>
          <w:rFonts w:hint="eastAsia" w:ascii="宋体" w:hAnsi="宋体" w:eastAsia="宋体" w:cs="宋体"/>
          <w:sz w:val="28"/>
          <w:szCs w:val="28"/>
        </w:rPr>
        <w:t>一般为</w:t>
      </w:r>
      <w:r>
        <w:rPr>
          <w:rFonts w:ascii="宋体" w:hAnsi="宋体" w:eastAsia="宋体" w:cs="宋体"/>
          <w:sz w:val="28"/>
          <w:szCs w:val="28"/>
        </w:rPr>
        <w:t>5m</w:t>
      </w:r>
      <w:r>
        <w:rPr>
          <w:rFonts w:hint="eastAsia" w:ascii="宋体" w:hAnsi="宋体" w:eastAsia="宋体" w:cs="宋体"/>
          <w:sz w:val="28"/>
          <w:szCs w:val="28"/>
        </w:rPr>
        <w:t>以上</w:t>
      </w:r>
      <w:r>
        <w:rPr>
          <w:rFonts w:ascii="宋体" w:hAnsi="宋体" w:eastAsia="宋体" w:cs="宋体"/>
          <w:sz w:val="28"/>
          <w:szCs w:val="28"/>
        </w:rPr>
        <w:t>)</w:t>
      </w:r>
      <w:r>
        <w:rPr>
          <w:rFonts w:hint="eastAsia" w:ascii="宋体" w:hAnsi="宋体" w:eastAsia="宋体" w:cs="宋体"/>
          <w:sz w:val="28"/>
          <w:szCs w:val="28"/>
        </w:rPr>
        <w:t>，以免接触火花、热渣或火焰，否则必须提供耐火屏障。使用氧气、乙炔进行焊接、切割作业时，氧气瓶与乙炔瓶之间间距不应小于5m，二者与动火作业地点不应小于10m。</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在焊接、切割等动火期间距动火点3</w:t>
      </w:r>
      <w:r>
        <w:rPr>
          <w:rFonts w:ascii="宋体" w:hAnsi="宋体" w:eastAsia="宋体" w:cs="宋体"/>
          <w:sz w:val="28"/>
          <w:szCs w:val="28"/>
        </w:rPr>
        <w:t>0</w:t>
      </w:r>
      <w:r>
        <w:rPr>
          <w:rFonts w:hint="eastAsia" w:ascii="宋体" w:hAnsi="宋体" w:eastAsia="宋体" w:cs="宋体"/>
          <w:sz w:val="28"/>
          <w:szCs w:val="28"/>
        </w:rPr>
        <w:t>m内不应排放可燃气体；距动火点15m内不应排放可燃液体；在动火点10m范围内及动火点下方不应同时进行可燃溶剂清洗或喷漆等作业。</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在进行焊接及切割操作的地方必须配置足够的灭火设备。</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当气瓶泄漏无法阻止时，应将燃气瓶移至室外，远离所有起火源，并做相应的警告通知。缓缓打开气瓶阀，逐渐释放内存的气体。气瓶泄漏导致的起火可通过关闭瓶阀，采用水、湿布、灭火器等手段予以熄灭。在气瓶起火无法通过上述手段熄灭的情况下，必须将该区域做疏散，并用大量水流浇湿气瓶，使其保持冷却。</w:t>
      </w:r>
    </w:p>
    <w:p>
      <w:pPr>
        <w:numPr>
          <w:ilvl w:val="2"/>
          <w:numId w:val="1"/>
        </w:numPr>
        <w:snapToGrid w:val="0"/>
        <w:spacing w:line="360" w:lineRule="auto"/>
        <w:ind w:left="-8" w:firstLine="638"/>
        <w:rPr>
          <w:rFonts w:ascii="宋体" w:hAnsi="宋体" w:eastAsia="宋体" w:cs="宋体"/>
          <w:sz w:val="28"/>
          <w:szCs w:val="28"/>
        </w:rPr>
      </w:pPr>
      <w:r>
        <w:rPr>
          <w:rFonts w:hint="eastAsia" w:ascii="宋体" w:hAnsi="宋体" w:eastAsia="宋体" w:cs="宋体"/>
          <w:sz w:val="28"/>
          <w:szCs w:val="28"/>
        </w:rPr>
        <w:t>焊接及切割应在为减少火灾隐患而设计、建造</w:t>
      </w:r>
      <w:r>
        <w:rPr>
          <w:rFonts w:ascii="宋体" w:hAnsi="宋体" w:eastAsia="宋体" w:cs="宋体"/>
          <w:sz w:val="28"/>
          <w:szCs w:val="28"/>
        </w:rPr>
        <w:t>(</w:t>
      </w:r>
      <w:r>
        <w:rPr>
          <w:rFonts w:hint="eastAsia" w:ascii="宋体" w:hAnsi="宋体" w:eastAsia="宋体" w:cs="宋体"/>
          <w:sz w:val="28"/>
          <w:szCs w:val="28"/>
        </w:rPr>
        <w:t>或特殊指定</w:t>
      </w:r>
      <w:r>
        <w:rPr>
          <w:rFonts w:ascii="宋体" w:hAnsi="宋体" w:eastAsia="宋体" w:cs="宋体"/>
          <w:sz w:val="28"/>
          <w:szCs w:val="28"/>
        </w:rPr>
        <w:t>)</w:t>
      </w:r>
      <w:r>
        <w:rPr>
          <w:rFonts w:hint="eastAsia" w:ascii="宋体" w:hAnsi="宋体" w:eastAsia="宋体" w:cs="宋体"/>
          <w:sz w:val="28"/>
          <w:szCs w:val="28"/>
        </w:rPr>
        <w:t>的区域内进行。因特殊原因需要在非指定的区域内进行焊接或切割操作时，必须经检查、核准，确保该区域无火灾隐患的条件。</w:t>
      </w:r>
    </w:p>
    <w:p>
      <w:pPr>
        <w:snapToGrid w:val="0"/>
        <w:spacing w:before="225" w:line="450" w:lineRule="atLeast"/>
        <w:ind w:firstLine="482"/>
        <w:jc w:val="left"/>
        <w:rPr>
          <w:rFonts w:ascii="宋体" w:hAnsi="宋体" w:eastAsia="宋体" w:cs="宋体"/>
          <w:sz w:val="28"/>
          <w:szCs w:val="28"/>
        </w:rPr>
      </w:pPr>
    </w:p>
    <w:p>
      <w:pPr>
        <w:snapToGrid w:val="0"/>
        <w:spacing w:before="225" w:line="450" w:lineRule="atLeast"/>
        <w:ind w:firstLine="482"/>
        <w:jc w:val="left"/>
        <w:rPr>
          <w:rFonts w:ascii="宋体" w:hAnsi="宋体" w:eastAsia="宋体" w:cs="宋体"/>
          <w:sz w:val="28"/>
          <w:szCs w:val="28"/>
        </w:rPr>
      </w:pPr>
    </w:p>
    <w:sectPr>
      <w:footerReference r:id="rId6" w:type="default"/>
      <w:pgSz w:w="12240" w:h="15840"/>
      <w:pgMar w:top="1417" w:right="1417" w:bottom="1417" w:left="1417" w:header="851" w:footer="850"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ascii="宋体" w:hAnsi="宋体" w:eastAsia="宋体"/>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宋体" w:hAnsi="宋体" w:eastAsia="宋体"/>
        <w:color w:val="000000"/>
        <w:sz w:val="24"/>
        <w:szCs w:val="24"/>
      </w:rPr>
    </w:pPr>
    <w:r>
      <w:rPr>
        <w:sz w:val="24"/>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jc w:val="center"/>
                </w:pPr>
                <w:r>
                  <w:rPr>
                    <w:rFonts w:ascii="宋体" w:hAnsi="宋体" w:eastAsia="宋体"/>
                    <w:color w:val="000000"/>
                    <w:sz w:val="24"/>
                    <w:szCs w:val="24"/>
                  </w:rPr>
                  <w:fldChar w:fldCharType="begin"/>
                </w:r>
                <w:r>
                  <w:rPr>
                    <w:rFonts w:ascii="宋体" w:hAnsi="宋体" w:eastAsia="宋体"/>
                    <w:color w:val="000000"/>
                    <w:sz w:val="24"/>
                    <w:szCs w:val="24"/>
                  </w:rPr>
                  <w:instrText xml:space="preserve">PAGE   \* MERGEFORMAT</w:instrText>
                </w:r>
                <w:r>
                  <w:rPr>
                    <w:rFonts w:ascii="宋体" w:hAnsi="宋体" w:eastAsia="宋体"/>
                    <w:color w:val="000000"/>
                    <w:sz w:val="24"/>
                    <w:szCs w:val="24"/>
                  </w:rPr>
                  <w:fldChar w:fldCharType="separate"/>
                </w:r>
                <w:r>
                  <w:rPr>
                    <w:rFonts w:ascii="宋体" w:hAnsi="宋体" w:eastAsia="宋体"/>
                    <w:color w:val="000000"/>
                    <w:sz w:val="24"/>
                    <w:szCs w:val="24"/>
                    <w:lang w:val="zh-CN"/>
                  </w:rPr>
                  <w:t>6</w:t>
                </w:r>
                <w:r>
                  <w:rPr>
                    <w:rFonts w:ascii="宋体" w:hAnsi="宋体" w:eastAsia="宋体"/>
                    <w:color w:val="000000"/>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420" w:hanging="420"/>
      </w:pPr>
      <w:rPr>
        <w:rFonts w:hint="default" w:ascii="黑体" w:hAnsi="黑体" w:eastAsia="黑体" w:cs="黑体"/>
        <w:bCs/>
        <w:sz w:val="28"/>
        <w:szCs w:val="28"/>
      </w:rPr>
    </w:lvl>
    <w:lvl w:ilvl="1" w:tentative="0">
      <w:start w:val="1"/>
      <w:numFmt w:val="decimal"/>
      <w:lvlText w:val="%1.%2"/>
      <w:lvlJc w:val="left"/>
      <w:pPr>
        <w:ind w:left="840" w:hanging="420"/>
      </w:pPr>
      <w:rPr>
        <w:rFonts w:hint="default" w:ascii="黑体" w:hAnsi="黑体" w:eastAsia="黑体"/>
        <w:b w:val="0"/>
        <w:bCs/>
      </w:rPr>
    </w:lvl>
    <w:lvl w:ilvl="2" w:tentative="0">
      <w:start w:val="1"/>
      <w:numFmt w:val="decimal"/>
      <w:lvlText w:val="%1.%2.%3"/>
      <w:lvlJc w:val="left"/>
      <w:pPr>
        <w:ind w:left="1252" w:hanging="420"/>
      </w:pPr>
      <w:rPr>
        <w:rFonts w:hint="default" w:ascii="黑体" w:hAnsi="黑体" w:eastAsia="黑体"/>
        <w:b w:val="0"/>
        <w:bCs w:val="0"/>
      </w:rPr>
    </w:lvl>
    <w:lvl w:ilvl="3" w:tentative="0">
      <w:start w:val="1"/>
      <w:numFmt w:val="decimal"/>
      <w:lvlText w:val="%1.%2.%3.%4"/>
      <w:lvlJc w:val="left"/>
      <w:pPr>
        <w:ind w:left="1680" w:hanging="420"/>
      </w:pPr>
      <w:rPr>
        <w:rFonts w:hint="default" w:ascii="宋体" w:hAnsi="宋体" w:eastAsia="宋体"/>
        <w:bCs/>
        <w:sz w:val="28"/>
        <w:szCs w:val="28"/>
      </w:rPr>
    </w:lvl>
    <w:lvl w:ilvl="4" w:tentative="0">
      <w:start w:val="1"/>
      <w:numFmt w:val="decimal"/>
      <w:lvlText w:val="%1.%2.%3.%4.%5"/>
      <w:lvlJc w:val="left"/>
      <w:pPr>
        <w:ind w:left="2100" w:hanging="420"/>
      </w:pPr>
      <w:rPr>
        <w:rFonts w:hint="default" w:ascii="宋体" w:hAnsi="宋体" w:eastAsia="宋体"/>
        <w:bCs/>
      </w:rPr>
    </w:lvl>
    <w:lvl w:ilvl="5" w:tentative="0">
      <w:start w:val="1"/>
      <w:numFmt w:val="decimal"/>
      <w:lvlText w:val="%1.%2.%3.%4.%5.%6"/>
      <w:lvlJc w:val="left"/>
      <w:pPr>
        <w:ind w:left="2520" w:hanging="420"/>
      </w:pPr>
      <w:rPr>
        <w:rFonts w:hint="default" w:ascii="宋体" w:hAnsi="宋体" w:eastAsia="宋体"/>
        <w:bCs/>
      </w:rPr>
    </w:lvl>
    <w:lvl w:ilvl="6" w:tentative="0">
      <w:start w:val="1"/>
      <w:numFmt w:val="decimal"/>
      <w:lvlText w:val="%1.%2.%3.%4.%5.%6.%7"/>
      <w:lvlJc w:val="left"/>
      <w:pPr>
        <w:ind w:left="2940" w:hanging="420"/>
      </w:pPr>
      <w:rPr>
        <w:rFonts w:hint="default" w:ascii="宋体" w:hAnsi="宋体" w:eastAsia="宋体"/>
        <w:bCs/>
      </w:rPr>
    </w:lvl>
    <w:lvl w:ilvl="7" w:tentative="0">
      <w:start w:val="1"/>
      <w:numFmt w:val="decimal"/>
      <w:lvlText w:val="%1.%2.%3.%4.%5.%6.%7.%8"/>
      <w:lvlJc w:val="left"/>
      <w:pPr>
        <w:ind w:left="3360" w:hanging="420"/>
      </w:pPr>
      <w:rPr>
        <w:rFonts w:hint="default" w:ascii="宋体" w:hAnsi="宋体" w:eastAsia="宋体"/>
        <w:bCs/>
      </w:rPr>
    </w:lvl>
    <w:lvl w:ilvl="8" w:tentative="0">
      <w:start w:val="1"/>
      <w:numFmt w:val="decimal"/>
      <w:lvlText w:val="%1.%2.%3.%4.%5.%6.%7.%8.%9"/>
      <w:lvlJc w:val="left"/>
      <w:pPr>
        <w:ind w:left="3780" w:hanging="420"/>
      </w:pPr>
      <w:rPr>
        <w:rFonts w:hint="default" w:ascii="宋体" w:hAnsi="宋体" w:eastAsia="宋体"/>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0C1A"/>
    <w:rsid w:val="00006872"/>
    <w:rsid w:val="00023A1E"/>
    <w:rsid w:val="00025942"/>
    <w:rsid w:val="000523A5"/>
    <w:rsid w:val="000536ED"/>
    <w:rsid w:val="000605FE"/>
    <w:rsid w:val="000624D3"/>
    <w:rsid w:val="00086DCB"/>
    <w:rsid w:val="000908ED"/>
    <w:rsid w:val="0009361A"/>
    <w:rsid w:val="000B302D"/>
    <w:rsid w:val="000C0CEC"/>
    <w:rsid w:val="000C3E50"/>
    <w:rsid w:val="000C51B7"/>
    <w:rsid w:val="000E1BC9"/>
    <w:rsid w:val="00100582"/>
    <w:rsid w:val="00104485"/>
    <w:rsid w:val="00120896"/>
    <w:rsid w:val="00132596"/>
    <w:rsid w:val="001449E6"/>
    <w:rsid w:val="001647B7"/>
    <w:rsid w:val="0019183E"/>
    <w:rsid w:val="001B3219"/>
    <w:rsid w:val="001C40AA"/>
    <w:rsid w:val="001E7A34"/>
    <w:rsid w:val="001F1618"/>
    <w:rsid w:val="001F65A2"/>
    <w:rsid w:val="00201418"/>
    <w:rsid w:val="00202AC7"/>
    <w:rsid w:val="00212E06"/>
    <w:rsid w:val="002165F8"/>
    <w:rsid w:val="00216EB9"/>
    <w:rsid w:val="0023554E"/>
    <w:rsid w:val="00236A11"/>
    <w:rsid w:val="00247566"/>
    <w:rsid w:val="00252DCC"/>
    <w:rsid w:val="00253EBB"/>
    <w:rsid w:val="002578DB"/>
    <w:rsid w:val="00281214"/>
    <w:rsid w:val="00296314"/>
    <w:rsid w:val="002B439E"/>
    <w:rsid w:val="002C004A"/>
    <w:rsid w:val="002C1884"/>
    <w:rsid w:val="002F39E0"/>
    <w:rsid w:val="00306936"/>
    <w:rsid w:val="00306B2A"/>
    <w:rsid w:val="00313A20"/>
    <w:rsid w:val="003174D9"/>
    <w:rsid w:val="003176F6"/>
    <w:rsid w:val="00322A6B"/>
    <w:rsid w:val="003237C1"/>
    <w:rsid w:val="00325458"/>
    <w:rsid w:val="003271AB"/>
    <w:rsid w:val="003A08AB"/>
    <w:rsid w:val="003B3909"/>
    <w:rsid w:val="003C777F"/>
    <w:rsid w:val="003D7071"/>
    <w:rsid w:val="003D7E97"/>
    <w:rsid w:val="003E1A66"/>
    <w:rsid w:val="003E2FD4"/>
    <w:rsid w:val="00436104"/>
    <w:rsid w:val="004508DF"/>
    <w:rsid w:val="00451DF9"/>
    <w:rsid w:val="004541E4"/>
    <w:rsid w:val="00467708"/>
    <w:rsid w:val="0048525B"/>
    <w:rsid w:val="004872C9"/>
    <w:rsid w:val="004B5DB3"/>
    <w:rsid w:val="004C0211"/>
    <w:rsid w:val="004C0213"/>
    <w:rsid w:val="004D36D7"/>
    <w:rsid w:val="004D7A71"/>
    <w:rsid w:val="004E5896"/>
    <w:rsid w:val="00511831"/>
    <w:rsid w:val="0053413C"/>
    <w:rsid w:val="0053703B"/>
    <w:rsid w:val="005452A4"/>
    <w:rsid w:val="005716CC"/>
    <w:rsid w:val="005768AB"/>
    <w:rsid w:val="00593874"/>
    <w:rsid w:val="0059531B"/>
    <w:rsid w:val="005A34CC"/>
    <w:rsid w:val="005C5625"/>
    <w:rsid w:val="005F6EDE"/>
    <w:rsid w:val="00616505"/>
    <w:rsid w:val="0062213C"/>
    <w:rsid w:val="00623C0B"/>
    <w:rsid w:val="00630E3E"/>
    <w:rsid w:val="00633F40"/>
    <w:rsid w:val="006549AD"/>
    <w:rsid w:val="0066006B"/>
    <w:rsid w:val="006638EC"/>
    <w:rsid w:val="00674A94"/>
    <w:rsid w:val="00676EB2"/>
    <w:rsid w:val="00682DD5"/>
    <w:rsid w:val="00684D9C"/>
    <w:rsid w:val="00692AB5"/>
    <w:rsid w:val="006B0A9B"/>
    <w:rsid w:val="006B2156"/>
    <w:rsid w:val="006B701B"/>
    <w:rsid w:val="006D1878"/>
    <w:rsid w:val="006D6C41"/>
    <w:rsid w:val="006E1233"/>
    <w:rsid w:val="007104A4"/>
    <w:rsid w:val="007111FA"/>
    <w:rsid w:val="00726602"/>
    <w:rsid w:val="00734B62"/>
    <w:rsid w:val="007354A3"/>
    <w:rsid w:val="0074555D"/>
    <w:rsid w:val="00747A7E"/>
    <w:rsid w:val="007526A3"/>
    <w:rsid w:val="0077613B"/>
    <w:rsid w:val="0077651B"/>
    <w:rsid w:val="0078095C"/>
    <w:rsid w:val="00782BC4"/>
    <w:rsid w:val="007835AB"/>
    <w:rsid w:val="007A0C52"/>
    <w:rsid w:val="007B26B3"/>
    <w:rsid w:val="007D2B4C"/>
    <w:rsid w:val="00802292"/>
    <w:rsid w:val="00807B26"/>
    <w:rsid w:val="00815345"/>
    <w:rsid w:val="00816190"/>
    <w:rsid w:val="00826656"/>
    <w:rsid w:val="00842F12"/>
    <w:rsid w:val="008473F0"/>
    <w:rsid w:val="008541EC"/>
    <w:rsid w:val="008570FF"/>
    <w:rsid w:val="00872F37"/>
    <w:rsid w:val="00873EEB"/>
    <w:rsid w:val="008C39E7"/>
    <w:rsid w:val="008C42F6"/>
    <w:rsid w:val="008D2196"/>
    <w:rsid w:val="008D4E9D"/>
    <w:rsid w:val="00900F7D"/>
    <w:rsid w:val="00913B1A"/>
    <w:rsid w:val="00923C00"/>
    <w:rsid w:val="00926A53"/>
    <w:rsid w:val="0093471D"/>
    <w:rsid w:val="00937D0E"/>
    <w:rsid w:val="009502CD"/>
    <w:rsid w:val="009652D0"/>
    <w:rsid w:val="009674F1"/>
    <w:rsid w:val="00973936"/>
    <w:rsid w:val="00980A5B"/>
    <w:rsid w:val="0098232F"/>
    <w:rsid w:val="00987303"/>
    <w:rsid w:val="00992E7F"/>
    <w:rsid w:val="009A2A8F"/>
    <w:rsid w:val="009B7817"/>
    <w:rsid w:val="009C09C9"/>
    <w:rsid w:val="009C0FBE"/>
    <w:rsid w:val="009C14D4"/>
    <w:rsid w:val="009D14F2"/>
    <w:rsid w:val="009D6533"/>
    <w:rsid w:val="009E388B"/>
    <w:rsid w:val="009F7610"/>
    <w:rsid w:val="00A07038"/>
    <w:rsid w:val="00A17FFA"/>
    <w:rsid w:val="00A202B9"/>
    <w:rsid w:val="00A579E0"/>
    <w:rsid w:val="00A60633"/>
    <w:rsid w:val="00A632B1"/>
    <w:rsid w:val="00A67FC2"/>
    <w:rsid w:val="00A747B5"/>
    <w:rsid w:val="00A804EF"/>
    <w:rsid w:val="00A9246C"/>
    <w:rsid w:val="00AA3DE2"/>
    <w:rsid w:val="00AD535E"/>
    <w:rsid w:val="00AE1367"/>
    <w:rsid w:val="00AF0608"/>
    <w:rsid w:val="00AF3EB3"/>
    <w:rsid w:val="00B11684"/>
    <w:rsid w:val="00B348FC"/>
    <w:rsid w:val="00B60516"/>
    <w:rsid w:val="00B65827"/>
    <w:rsid w:val="00B815C1"/>
    <w:rsid w:val="00B84EC5"/>
    <w:rsid w:val="00B87E16"/>
    <w:rsid w:val="00BA0C1A"/>
    <w:rsid w:val="00BC37A4"/>
    <w:rsid w:val="00BC3F73"/>
    <w:rsid w:val="00BC6065"/>
    <w:rsid w:val="00BF73C8"/>
    <w:rsid w:val="00C05776"/>
    <w:rsid w:val="00C061CB"/>
    <w:rsid w:val="00C37D4E"/>
    <w:rsid w:val="00C40218"/>
    <w:rsid w:val="00C425DE"/>
    <w:rsid w:val="00C57807"/>
    <w:rsid w:val="00C604EC"/>
    <w:rsid w:val="00C60CFF"/>
    <w:rsid w:val="00C7078F"/>
    <w:rsid w:val="00C910AB"/>
    <w:rsid w:val="00C91697"/>
    <w:rsid w:val="00C9268B"/>
    <w:rsid w:val="00C97DF6"/>
    <w:rsid w:val="00CC4EFC"/>
    <w:rsid w:val="00CF0DD7"/>
    <w:rsid w:val="00CF48C0"/>
    <w:rsid w:val="00CF7DC4"/>
    <w:rsid w:val="00D15480"/>
    <w:rsid w:val="00D17F6C"/>
    <w:rsid w:val="00D229E1"/>
    <w:rsid w:val="00D41EC3"/>
    <w:rsid w:val="00D42989"/>
    <w:rsid w:val="00D42D43"/>
    <w:rsid w:val="00D46AD7"/>
    <w:rsid w:val="00D53420"/>
    <w:rsid w:val="00D83973"/>
    <w:rsid w:val="00D84AC3"/>
    <w:rsid w:val="00D85208"/>
    <w:rsid w:val="00D86ED1"/>
    <w:rsid w:val="00DB453A"/>
    <w:rsid w:val="00DB702C"/>
    <w:rsid w:val="00DC1E0A"/>
    <w:rsid w:val="00DD26F3"/>
    <w:rsid w:val="00DD32AF"/>
    <w:rsid w:val="00DD4C05"/>
    <w:rsid w:val="00DD65F6"/>
    <w:rsid w:val="00DF1CEE"/>
    <w:rsid w:val="00E0077A"/>
    <w:rsid w:val="00E040D5"/>
    <w:rsid w:val="00E052FA"/>
    <w:rsid w:val="00E07945"/>
    <w:rsid w:val="00E1381E"/>
    <w:rsid w:val="00E26251"/>
    <w:rsid w:val="00E3340D"/>
    <w:rsid w:val="00E425F3"/>
    <w:rsid w:val="00E55F97"/>
    <w:rsid w:val="00E64382"/>
    <w:rsid w:val="00E8100B"/>
    <w:rsid w:val="00E855C6"/>
    <w:rsid w:val="00E931D1"/>
    <w:rsid w:val="00EA1EE8"/>
    <w:rsid w:val="00EC5778"/>
    <w:rsid w:val="00ED7E1F"/>
    <w:rsid w:val="00EE38E0"/>
    <w:rsid w:val="00F00520"/>
    <w:rsid w:val="00F079CA"/>
    <w:rsid w:val="00F20F5D"/>
    <w:rsid w:val="00F23D07"/>
    <w:rsid w:val="00F40B31"/>
    <w:rsid w:val="00F53662"/>
    <w:rsid w:val="00F609F3"/>
    <w:rsid w:val="00F73315"/>
    <w:rsid w:val="00F97CA4"/>
    <w:rsid w:val="00FC0913"/>
    <w:rsid w:val="00FC5E5B"/>
    <w:rsid w:val="00FE039D"/>
    <w:rsid w:val="00FF3C6F"/>
    <w:rsid w:val="026409B9"/>
    <w:rsid w:val="02DC72C7"/>
    <w:rsid w:val="03AA5237"/>
    <w:rsid w:val="04003C23"/>
    <w:rsid w:val="04312E4C"/>
    <w:rsid w:val="051E2110"/>
    <w:rsid w:val="05CC6FDD"/>
    <w:rsid w:val="05D75684"/>
    <w:rsid w:val="083D07F0"/>
    <w:rsid w:val="089733F8"/>
    <w:rsid w:val="09803885"/>
    <w:rsid w:val="0E5156D1"/>
    <w:rsid w:val="0F9704F4"/>
    <w:rsid w:val="105E3B74"/>
    <w:rsid w:val="11AF4526"/>
    <w:rsid w:val="13174AE5"/>
    <w:rsid w:val="134358DA"/>
    <w:rsid w:val="16ED03EF"/>
    <w:rsid w:val="1A932BDE"/>
    <w:rsid w:val="1B3C2CE4"/>
    <w:rsid w:val="1B5059EB"/>
    <w:rsid w:val="1B740651"/>
    <w:rsid w:val="1C2C4424"/>
    <w:rsid w:val="1CD54CE6"/>
    <w:rsid w:val="1DEC38DC"/>
    <w:rsid w:val="1E8022F6"/>
    <w:rsid w:val="20414129"/>
    <w:rsid w:val="22A01ED4"/>
    <w:rsid w:val="230C1709"/>
    <w:rsid w:val="235B7CB5"/>
    <w:rsid w:val="274C6FFB"/>
    <w:rsid w:val="27DB47C4"/>
    <w:rsid w:val="294764C6"/>
    <w:rsid w:val="2990514A"/>
    <w:rsid w:val="2AF35D5C"/>
    <w:rsid w:val="2B023570"/>
    <w:rsid w:val="2B357B8E"/>
    <w:rsid w:val="2BAA320F"/>
    <w:rsid w:val="2C873F73"/>
    <w:rsid w:val="2CAE0F61"/>
    <w:rsid w:val="2E127743"/>
    <w:rsid w:val="2EDE611B"/>
    <w:rsid w:val="2F186D85"/>
    <w:rsid w:val="303C4EA0"/>
    <w:rsid w:val="30456175"/>
    <w:rsid w:val="306355EE"/>
    <w:rsid w:val="312152CC"/>
    <w:rsid w:val="3232137B"/>
    <w:rsid w:val="3319283B"/>
    <w:rsid w:val="33D0009D"/>
    <w:rsid w:val="34FF1E5E"/>
    <w:rsid w:val="35C8390B"/>
    <w:rsid w:val="35DF1D74"/>
    <w:rsid w:val="36772279"/>
    <w:rsid w:val="37212E24"/>
    <w:rsid w:val="380C6BFD"/>
    <w:rsid w:val="38916C9E"/>
    <w:rsid w:val="394A21CB"/>
    <w:rsid w:val="3B3B5C7A"/>
    <w:rsid w:val="3C05299E"/>
    <w:rsid w:val="3CA66FD7"/>
    <w:rsid w:val="3DF070C6"/>
    <w:rsid w:val="4046515C"/>
    <w:rsid w:val="428563FA"/>
    <w:rsid w:val="434067C1"/>
    <w:rsid w:val="442B7B91"/>
    <w:rsid w:val="443655E3"/>
    <w:rsid w:val="455C1877"/>
    <w:rsid w:val="461D238E"/>
    <w:rsid w:val="48511492"/>
    <w:rsid w:val="49680BAA"/>
    <w:rsid w:val="49C66CE1"/>
    <w:rsid w:val="4AFA62A3"/>
    <w:rsid w:val="4B7A4B3E"/>
    <w:rsid w:val="4CB65BBF"/>
    <w:rsid w:val="4E540C41"/>
    <w:rsid w:val="4E9E395A"/>
    <w:rsid w:val="4EA10072"/>
    <w:rsid w:val="509867EA"/>
    <w:rsid w:val="512C3968"/>
    <w:rsid w:val="52E26A2F"/>
    <w:rsid w:val="52ED029A"/>
    <w:rsid w:val="530E579D"/>
    <w:rsid w:val="53457428"/>
    <w:rsid w:val="537A1782"/>
    <w:rsid w:val="538C30F7"/>
    <w:rsid w:val="544271FF"/>
    <w:rsid w:val="55973E73"/>
    <w:rsid w:val="55DA0048"/>
    <w:rsid w:val="568D20C3"/>
    <w:rsid w:val="56974442"/>
    <w:rsid w:val="5A034EC3"/>
    <w:rsid w:val="5A37234D"/>
    <w:rsid w:val="5A5E7BBB"/>
    <w:rsid w:val="5AC44264"/>
    <w:rsid w:val="5B5D49E7"/>
    <w:rsid w:val="5B777F4E"/>
    <w:rsid w:val="5D550BC5"/>
    <w:rsid w:val="5D750455"/>
    <w:rsid w:val="5DD628F1"/>
    <w:rsid w:val="60364764"/>
    <w:rsid w:val="640817BA"/>
    <w:rsid w:val="64605C2B"/>
    <w:rsid w:val="650445CF"/>
    <w:rsid w:val="67035B47"/>
    <w:rsid w:val="691B722C"/>
    <w:rsid w:val="6A055B1C"/>
    <w:rsid w:val="6A500C3D"/>
    <w:rsid w:val="6D796289"/>
    <w:rsid w:val="6EAF13B0"/>
    <w:rsid w:val="6ECF5CBB"/>
    <w:rsid w:val="6F3E1BAE"/>
    <w:rsid w:val="70332C1E"/>
    <w:rsid w:val="70801783"/>
    <w:rsid w:val="70C941B4"/>
    <w:rsid w:val="70E95381"/>
    <w:rsid w:val="71061E72"/>
    <w:rsid w:val="710D5343"/>
    <w:rsid w:val="727D21E6"/>
    <w:rsid w:val="74AD2FDE"/>
    <w:rsid w:val="751F6C7C"/>
    <w:rsid w:val="76A17668"/>
    <w:rsid w:val="779D15FE"/>
    <w:rsid w:val="78AE6666"/>
    <w:rsid w:val="7A3B2499"/>
    <w:rsid w:val="7AE60C3F"/>
    <w:rsid w:val="7CDA7C6A"/>
    <w:rsid w:val="7E0E4E17"/>
    <w:rsid w:val="7E5760DF"/>
    <w:rsid w:val="7E97390A"/>
    <w:rsid w:val="7F020554"/>
    <w:rsid w:val="7FA857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37"/>
    <w:semiHidden/>
    <w:unhideWhenUsed/>
    <w:qFormat/>
    <w:uiPriority w:val="9"/>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1260"/>
      <w:jc w:val="left"/>
    </w:pPr>
    <w:rPr>
      <w:rFonts w:cstheme="minorHAnsi"/>
      <w:sz w:val="18"/>
      <w:szCs w:val="18"/>
    </w:rPr>
  </w:style>
  <w:style w:type="paragraph" w:styleId="5">
    <w:name w:val="annotation text"/>
    <w:basedOn w:val="1"/>
    <w:link w:val="35"/>
    <w:semiHidden/>
    <w:unhideWhenUsed/>
    <w:qFormat/>
    <w:uiPriority w:val="99"/>
    <w:pPr>
      <w:jc w:val="left"/>
    </w:pPr>
  </w:style>
  <w:style w:type="paragraph" w:styleId="6">
    <w:name w:val="Body Text Indent"/>
    <w:basedOn w:val="1"/>
    <w:link w:val="31"/>
    <w:semiHidden/>
    <w:unhideWhenUsed/>
    <w:qFormat/>
    <w:uiPriority w:val="99"/>
    <w:pPr>
      <w:spacing w:after="120"/>
      <w:ind w:left="420" w:leftChars="200"/>
    </w:pPr>
  </w:style>
  <w:style w:type="paragraph" w:styleId="7">
    <w:name w:val="toc 5"/>
    <w:basedOn w:val="1"/>
    <w:next w:val="1"/>
    <w:unhideWhenUsed/>
    <w:qFormat/>
    <w:uiPriority w:val="39"/>
    <w:pPr>
      <w:ind w:left="840"/>
      <w:jc w:val="left"/>
    </w:pPr>
    <w:rPr>
      <w:rFonts w:cstheme="minorHAnsi"/>
      <w:sz w:val="18"/>
      <w:szCs w:val="18"/>
    </w:rPr>
  </w:style>
  <w:style w:type="paragraph" w:styleId="8">
    <w:name w:val="toc 3"/>
    <w:basedOn w:val="1"/>
    <w:next w:val="1"/>
    <w:unhideWhenUsed/>
    <w:qFormat/>
    <w:uiPriority w:val="39"/>
    <w:pPr>
      <w:ind w:left="420"/>
      <w:jc w:val="left"/>
    </w:pPr>
    <w:rPr>
      <w:rFonts w:cstheme="minorHAnsi"/>
      <w:i/>
      <w:iCs/>
      <w:sz w:val="20"/>
      <w:szCs w:val="20"/>
    </w:rPr>
  </w:style>
  <w:style w:type="paragraph" w:styleId="9">
    <w:name w:val="toc 8"/>
    <w:basedOn w:val="1"/>
    <w:next w:val="1"/>
    <w:unhideWhenUsed/>
    <w:qFormat/>
    <w:uiPriority w:val="39"/>
    <w:pPr>
      <w:ind w:left="1470"/>
      <w:jc w:val="left"/>
    </w:pPr>
    <w:rPr>
      <w:rFonts w:cstheme="minorHAnsi"/>
      <w:sz w:val="18"/>
      <w:szCs w:val="18"/>
    </w:rPr>
  </w:style>
  <w:style w:type="paragraph" w:styleId="10">
    <w:name w:val="Balloon Text"/>
    <w:basedOn w:val="1"/>
    <w:link w:val="30"/>
    <w:semiHidden/>
    <w:unhideWhenUsed/>
    <w:qFormat/>
    <w:uiPriority w:val="99"/>
    <w:rPr>
      <w:sz w:val="18"/>
      <w:szCs w:val="18"/>
    </w:rPr>
  </w:style>
  <w:style w:type="paragraph" w:styleId="11">
    <w:name w:val="footer"/>
    <w:basedOn w:val="1"/>
    <w:link w:val="27"/>
    <w:unhideWhenUsed/>
    <w:qFormat/>
    <w:uiPriority w:val="99"/>
    <w:pPr>
      <w:tabs>
        <w:tab w:val="center" w:pos="4153"/>
        <w:tab w:val="right" w:pos="8306"/>
      </w:tabs>
      <w:snapToGrid w:val="0"/>
      <w:jc w:val="left"/>
    </w:pPr>
    <w:rPr>
      <w:sz w:val="18"/>
      <w:szCs w:val="18"/>
    </w:rPr>
  </w:style>
  <w:style w:type="paragraph" w:styleId="12">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spacing w:before="120" w:after="120"/>
      <w:jc w:val="left"/>
    </w:pPr>
    <w:rPr>
      <w:rFonts w:cstheme="minorHAnsi"/>
      <w:b/>
      <w:bCs/>
      <w:caps/>
      <w:sz w:val="20"/>
      <w:szCs w:val="20"/>
    </w:rPr>
  </w:style>
  <w:style w:type="paragraph" w:styleId="14">
    <w:name w:val="toc 4"/>
    <w:basedOn w:val="1"/>
    <w:next w:val="1"/>
    <w:unhideWhenUsed/>
    <w:qFormat/>
    <w:uiPriority w:val="39"/>
    <w:pPr>
      <w:ind w:left="630"/>
      <w:jc w:val="left"/>
    </w:pPr>
    <w:rPr>
      <w:rFonts w:cstheme="minorHAnsi"/>
      <w:sz w:val="18"/>
      <w:szCs w:val="18"/>
    </w:rPr>
  </w:style>
  <w:style w:type="paragraph" w:styleId="15">
    <w:name w:val="toc 6"/>
    <w:basedOn w:val="1"/>
    <w:next w:val="1"/>
    <w:unhideWhenUsed/>
    <w:qFormat/>
    <w:uiPriority w:val="39"/>
    <w:pPr>
      <w:ind w:left="1050"/>
      <w:jc w:val="left"/>
    </w:pPr>
    <w:rPr>
      <w:rFonts w:cstheme="minorHAnsi"/>
      <w:sz w:val="18"/>
      <w:szCs w:val="18"/>
    </w:rPr>
  </w:style>
  <w:style w:type="paragraph" w:styleId="16">
    <w:name w:val="toc 2"/>
    <w:basedOn w:val="1"/>
    <w:next w:val="1"/>
    <w:unhideWhenUsed/>
    <w:qFormat/>
    <w:uiPriority w:val="39"/>
    <w:pPr>
      <w:ind w:left="210"/>
      <w:jc w:val="left"/>
    </w:pPr>
    <w:rPr>
      <w:rFonts w:cstheme="minorHAnsi"/>
      <w:smallCaps/>
      <w:sz w:val="20"/>
      <w:szCs w:val="20"/>
    </w:rPr>
  </w:style>
  <w:style w:type="paragraph" w:styleId="17">
    <w:name w:val="toc 9"/>
    <w:basedOn w:val="1"/>
    <w:next w:val="1"/>
    <w:unhideWhenUsed/>
    <w:qFormat/>
    <w:uiPriority w:val="39"/>
    <w:pPr>
      <w:ind w:left="1680"/>
      <w:jc w:val="left"/>
    </w:pPr>
    <w:rPr>
      <w:rFonts w:cstheme="minorHAnsi"/>
      <w:sz w:val="18"/>
      <w:szCs w:val="18"/>
    </w:rPr>
  </w:style>
  <w:style w:type="paragraph" w:styleId="18">
    <w:name w:val="annotation subject"/>
    <w:basedOn w:val="5"/>
    <w:next w:val="5"/>
    <w:link w:val="36"/>
    <w:semiHidden/>
    <w:unhideWhenUsed/>
    <w:qFormat/>
    <w:uiPriority w:val="99"/>
    <w:rPr>
      <w:b/>
      <w:bCs/>
    </w:rPr>
  </w:style>
  <w:style w:type="paragraph" w:styleId="19">
    <w:name w:val="Body Text First Indent 2"/>
    <w:basedOn w:val="6"/>
    <w:link w:val="32"/>
    <w:unhideWhenUsed/>
    <w:qFormat/>
    <w:uiPriority w:val="99"/>
    <w:pPr>
      <w:spacing w:before="100" w:beforeAutospacing="1"/>
      <w:ind w:firstLine="420" w:firstLineChars="200"/>
    </w:pPr>
    <w:rPr>
      <w:rFonts w:ascii="Times New Roman" w:hAnsi="Times New Roman" w:eastAsia="宋体" w:cs="Times New Roman"/>
      <w:szCs w:val="21"/>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rPr>
  </w:style>
  <w:style w:type="character" w:styleId="24">
    <w:name w:val="Hyperlink"/>
    <w:basedOn w:val="22"/>
    <w:unhideWhenUsed/>
    <w:qFormat/>
    <w:uiPriority w:val="99"/>
    <w:rPr>
      <w:color w:val="0000FF" w:themeColor="hyperlink"/>
      <w:u w:val="single"/>
    </w:rPr>
  </w:style>
  <w:style w:type="character" w:styleId="25">
    <w:name w:val="annotation reference"/>
    <w:basedOn w:val="22"/>
    <w:semiHidden/>
    <w:unhideWhenUsed/>
    <w:qFormat/>
    <w:uiPriority w:val="99"/>
    <w:rPr>
      <w:sz w:val="21"/>
      <w:szCs w:val="21"/>
    </w:rPr>
  </w:style>
  <w:style w:type="character" w:customStyle="1" w:styleId="26">
    <w:name w:val="页眉 字符"/>
    <w:basedOn w:val="22"/>
    <w:link w:val="12"/>
    <w:semiHidden/>
    <w:qFormat/>
    <w:uiPriority w:val="99"/>
    <w:rPr>
      <w:sz w:val="18"/>
      <w:szCs w:val="18"/>
    </w:rPr>
  </w:style>
  <w:style w:type="character" w:customStyle="1" w:styleId="27">
    <w:name w:val="页脚 字符"/>
    <w:basedOn w:val="22"/>
    <w:link w:val="11"/>
    <w:semiHidden/>
    <w:qFormat/>
    <w:uiPriority w:val="99"/>
    <w:rPr>
      <w:sz w:val="18"/>
      <w:szCs w:val="18"/>
    </w:rPr>
  </w:style>
  <w:style w:type="paragraph" w:styleId="28">
    <w:name w:val="List Paragraph"/>
    <w:basedOn w:val="1"/>
    <w:qFormat/>
    <w:uiPriority w:val="34"/>
    <w:pPr>
      <w:ind w:firstLine="420" w:firstLineChars="200"/>
    </w:pPr>
  </w:style>
  <w:style w:type="paragraph" w:customStyle="1" w:styleId="29">
    <w:name w:val="TOC 标题1"/>
    <w:basedOn w:val="2"/>
    <w:next w:val="1"/>
    <w:unhideWhenUsed/>
    <w:qFormat/>
    <w:uiPriority w:val="39"/>
    <w:pPr>
      <w:keepNext/>
      <w:keepLines/>
      <w:spacing w:before="240" w:beforeAutospacing="0" w:after="0" w:afterAutospacing="0" w:line="259" w:lineRule="auto"/>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30">
    <w:name w:val="批注框文本 字符"/>
    <w:basedOn w:val="22"/>
    <w:link w:val="10"/>
    <w:semiHidden/>
    <w:qFormat/>
    <w:uiPriority w:val="99"/>
    <w:rPr>
      <w:rFonts w:asciiTheme="minorHAnsi" w:hAnsiTheme="minorHAnsi" w:eastAsiaTheme="minorEastAsia" w:cstheme="minorBidi"/>
      <w:kern w:val="2"/>
      <w:sz w:val="18"/>
      <w:szCs w:val="18"/>
    </w:rPr>
  </w:style>
  <w:style w:type="character" w:customStyle="1" w:styleId="31">
    <w:name w:val="正文文本缩进 字符"/>
    <w:basedOn w:val="22"/>
    <w:link w:val="6"/>
    <w:semiHidden/>
    <w:qFormat/>
    <w:uiPriority w:val="99"/>
    <w:rPr>
      <w:rFonts w:asciiTheme="minorHAnsi" w:hAnsiTheme="minorHAnsi" w:eastAsiaTheme="minorEastAsia" w:cstheme="minorBidi"/>
      <w:kern w:val="2"/>
      <w:sz w:val="21"/>
      <w:szCs w:val="22"/>
    </w:rPr>
  </w:style>
  <w:style w:type="character" w:customStyle="1" w:styleId="32">
    <w:name w:val="正文文本首行缩进 2 字符"/>
    <w:basedOn w:val="31"/>
    <w:link w:val="19"/>
    <w:qFormat/>
    <w:uiPriority w:val="99"/>
    <w:rPr>
      <w:rFonts w:asciiTheme="minorHAnsi" w:hAnsiTheme="minorHAnsi" w:eastAsiaTheme="minorEastAsia" w:cstheme="minorBidi"/>
      <w:kern w:val="2"/>
      <w:sz w:val="21"/>
      <w:szCs w:val="21"/>
    </w:rPr>
  </w:style>
  <w:style w:type="character" w:customStyle="1" w:styleId="33">
    <w:name w:val="15"/>
    <w:basedOn w:val="22"/>
    <w:qFormat/>
    <w:uiPriority w:val="0"/>
    <w:rPr>
      <w:rFonts w:hint="default" w:ascii="Times New Roman" w:hAnsi="Times New Roman" w:cs="Times New Roman"/>
      <w:color w:val="000000"/>
      <w:sz w:val="21"/>
      <w:szCs w:val="21"/>
    </w:rPr>
  </w:style>
  <w:style w:type="character" w:customStyle="1" w:styleId="34">
    <w:name w:val="16"/>
    <w:basedOn w:val="22"/>
    <w:qFormat/>
    <w:uiPriority w:val="0"/>
    <w:rPr>
      <w:rFonts w:hint="eastAsia" w:ascii="华文仿宋" w:hAnsi="华文仿宋" w:eastAsia="华文仿宋"/>
      <w:color w:val="000000"/>
      <w:sz w:val="21"/>
      <w:szCs w:val="21"/>
    </w:rPr>
  </w:style>
  <w:style w:type="character" w:customStyle="1" w:styleId="35">
    <w:name w:val="批注文字 字符"/>
    <w:basedOn w:val="22"/>
    <w:link w:val="5"/>
    <w:semiHidden/>
    <w:qFormat/>
    <w:uiPriority w:val="99"/>
    <w:rPr>
      <w:rFonts w:asciiTheme="minorHAnsi" w:hAnsiTheme="minorHAnsi" w:eastAsiaTheme="minorEastAsia" w:cstheme="minorBidi"/>
      <w:kern w:val="2"/>
      <w:sz w:val="21"/>
      <w:szCs w:val="22"/>
    </w:rPr>
  </w:style>
  <w:style w:type="character" w:customStyle="1" w:styleId="36">
    <w:name w:val="批注主题 字符"/>
    <w:basedOn w:val="35"/>
    <w:link w:val="18"/>
    <w:semiHidden/>
    <w:qFormat/>
    <w:uiPriority w:val="99"/>
    <w:rPr>
      <w:rFonts w:asciiTheme="minorHAnsi" w:hAnsiTheme="minorHAnsi" w:eastAsiaTheme="minorEastAsia" w:cstheme="minorBidi"/>
      <w:b/>
      <w:bCs/>
      <w:kern w:val="2"/>
      <w:sz w:val="21"/>
      <w:szCs w:val="22"/>
    </w:rPr>
  </w:style>
  <w:style w:type="character" w:customStyle="1" w:styleId="37">
    <w:name w:val="标题 3 字符"/>
    <w:basedOn w:val="22"/>
    <w:link w:val="3"/>
    <w:semiHidden/>
    <w:qFormat/>
    <w:uiPriority w:val="9"/>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Ext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2784</Words>
  <Characters>15872</Characters>
  <Lines>132</Lines>
  <Paragraphs>37</Paragraphs>
  <TotalTime>6</TotalTime>
  <ScaleCrop>false</ScaleCrop>
  <LinksUpToDate>false</LinksUpToDate>
  <CharactersWithSpaces>18619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2021-08-30T14:01:00Z</dcterms:created>
  <dc:creator>Tencent</dc:creator>
  <cp:lastModifiedBy>云</cp:lastModifiedBy>
  <cp:lastPrinted>2021-09-09T06:01:00Z</cp:lastPrinted>
  <dcterms:modified xsi:type="dcterms:W3CDTF">2021-12-31T08:45:53Z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3C2D179BE86140FEA29A2A2BDFB22C9C</vt:lpwstr>
  </property>
</Properties>
</file>