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r>
        <w:rPr>
          <w:rFonts w:hint="eastAsia" w:ascii="黑体" w:hAnsi="黑体" w:eastAsia="黑体" w:cs="黑体"/>
          <w:sz w:val="52"/>
          <w:szCs w:val="52"/>
        </w:rPr>
        <w:t>工矿行业危险化学品使用安全指导手册</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w:t>
      </w:r>
      <w:r>
        <w:rPr>
          <w:rFonts w:hint="eastAsia" w:ascii="黑体" w:hAnsi="黑体" w:eastAsia="黑体" w:cs="黑体"/>
          <w:sz w:val="52"/>
          <w:szCs w:val="52"/>
          <w:lang w:val="en-US" w:eastAsia="zh-CN"/>
        </w:rPr>
        <w:t>试行</w:t>
      </w:r>
      <w:r>
        <w:rPr>
          <w:rFonts w:hint="eastAsia" w:ascii="黑体" w:hAnsi="黑体" w:eastAsia="黑体" w:cs="黑体"/>
          <w:sz w:val="52"/>
          <w:szCs w:val="52"/>
          <w:lang w:eastAsia="zh-CN"/>
        </w:rPr>
        <w:t>）</w:t>
      </w:r>
    </w:p>
    <w:p>
      <w:pPr>
        <w:snapToGrid w:val="0"/>
        <w:spacing w:before="187" w:after="187"/>
        <w:jc w:val="center"/>
        <w:rPr>
          <w:rFonts w:ascii="宋体" w:hAnsi="宋体" w:eastAsia="宋体"/>
          <w:b/>
          <w:bCs/>
          <w:sz w:val="44"/>
          <w:szCs w:val="44"/>
        </w:rPr>
      </w:pPr>
    </w:p>
    <w:p>
      <w:pPr>
        <w:snapToGrid w:val="0"/>
        <w:spacing w:before="187" w:after="187"/>
        <w:jc w:val="center"/>
        <w:rPr>
          <w:rFonts w:ascii="宋体" w:hAnsi="宋体" w:eastAsia="宋体"/>
          <w:b/>
          <w:bCs/>
          <w:sz w:val="44"/>
          <w:szCs w:val="44"/>
        </w:rPr>
      </w:pPr>
    </w:p>
    <w:p>
      <w:pPr>
        <w:snapToGrid w:val="0"/>
        <w:spacing w:before="187" w:after="187"/>
        <w:jc w:val="center"/>
        <w:rPr>
          <w:rFonts w:ascii="宋体" w:hAnsi="宋体" w:eastAsia="宋体"/>
          <w:b/>
          <w:bCs/>
          <w:sz w:val="44"/>
          <w:szCs w:val="44"/>
        </w:rPr>
      </w:pPr>
    </w:p>
    <w:p>
      <w:pPr>
        <w:snapToGrid w:val="0"/>
        <w:spacing w:before="187" w:after="187"/>
        <w:jc w:val="center"/>
        <w:rPr>
          <w:rFonts w:ascii="宋体" w:hAnsi="宋体" w:eastAsia="宋体"/>
          <w:b/>
          <w:bCs/>
          <w:sz w:val="44"/>
          <w:szCs w:val="44"/>
        </w:rPr>
      </w:pPr>
    </w:p>
    <w:p>
      <w:pPr>
        <w:snapToGrid w:val="0"/>
        <w:spacing w:before="187" w:after="187"/>
        <w:jc w:val="center"/>
        <w:rPr>
          <w:rFonts w:ascii="宋体" w:hAnsi="宋体" w:eastAsia="宋体"/>
          <w:b/>
          <w:bCs/>
          <w:sz w:val="44"/>
          <w:szCs w:val="44"/>
        </w:rPr>
      </w:pPr>
    </w:p>
    <w:p>
      <w:pPr>
        <w:snapToGrid w:val="0"/>
        <w:spacing w:before="187" w:after="187"/>
        <w:jc w:val="center"/>
        <w:rPr>
          <w:rFonts w:ascii="宋体" w:hAnsi="宋体" w:eastAsia="宋体"/>
          <w:b/>
          <w:bCs/>
          <w:sz w:val="44"/>
          <w:szCs w:val="44"/>
        </w:rPr>
      </w:pPr>
    </w:p>
    <w:p>
      <w:pPr>
        <w:snapToGrid w:val="0"/>
        <w:spacing w:before="187" w:after="187"/>
        <w:jc w:val="center"/>
        <w:rPr>
          <w:rFonts w:ascii="宋体" w:hAnsi="宋体" w:eastAsia="宋体"/>
          <w:b/>
          <w:bCs/>
          <w:sz w:val="44"/>
          <w:szCs w:val="44"/>
        </w:rPr>
      </w:pPr>
    </w:p>
    <w:p>
      <w:pPr>
        <w:snapToGrid w:val="0"/>
        <w:spacing w:before="187" w:after="187"/>
        <w:jc w:val="center"/>
        <w:rPr>
          <w:rFonts w:ascii="宋体" w:hAnsi="宋体" w:eastAsia="宋体"/>
          <w:b/>
          <w:bCs/>
          <w:sz w:val="44"/>
          <w:szCs w:val="44"/>
        </w:rPr>
      </w:pPr>
    </w:p>
    <w:p>
      <w:pPr>
        <w:snapToGrid w:val="0"/>
        <w:spacing w:before="187" w:after="187"/>
        <w:jc w:val="center"/>
        <w:rPr>
          <w:rFonts w:ascii="宋体" w:hAnsi="宋体" w:eastAsia="宋体"/>
          <w:b/>
          <w:bCs/>
          <w:sz w:val="44"/>
          <w:szCs w:val="44"/>
        </w:rPr>
      </w:pPr>
    </w:p>
    <w:p>
      <w:pPr>
        <w:snapToGrid w:val="0"/>
        <w:spacing w:before="187" w:after="187"/>
        <w:jc w:val="center"/>
        <w:rPr>
          <w:rFonts w:ascii="宋体" w:hAnsi="宋体" w:eastAsia="宋体"/>
          <w:b/>
          <w:bCs/>
          <w:sz w:val="44"/>
          <w:szCs w:val="44"/>
        </w:rPr>
      </w:pPr>
    </w:p>
    <w:p>
      <w:pPr>
        <w:snapToGrid w:val="0"/>
        <w:spacing w:before="187" w:after="187"/>
        <w:jc w:val="both"/>
        <w:rPr>
          <w:rFonts w:ascii="宋体" w:hAnsi="宋体" w:eastAsia="宋体"/>
          <w:b/>
          <w:bCs/>
          <w:sz w:val="44"/>
          <w:szCs w:val="44"/>
        </w:rPr>
      </w:pPr>
    </w:p>
    <w:p>
      <w:pPr>
        <w:snapToGrid w:val="0"/>
        <w:spacing w:before="187" w:after="187"/>
        <w:jc w:val="center"/>
        <w:rPr>
          <w:rFonts w:ascii="宋体" w:hAnsi="宋体" w:eastAsia="宋体"/>
          <w:b/>
          <w:bCs/>
          <w:sz w:val="44"/>
          <w:szCs w:val="44"/>
        </w:rPr>
      </w:pPr>
    </w:p>
    <w:p>
      <w:pPr>
        <w:pStyle w:val="28"/>
        <w:ind w:firstLine="0" w:firstLineChars="0"/>
        <w:jc w:val="center"/>
        <w:rPr>
          <w:rFonts w:ascii="Times New Roman" w:hAnsi="Times New Roman" w:eastAsia="仿宋" w:cs="Times New Roman"/>
          <w:sz w:val="32"/>
          <w:szCs w:val="32"/>
        </w:rPr>
      </w:pPr>
      <w:r>
        <w:rPr>
          <w:rFonts w:ascii="Times New Roman" w:hAnsi="Times New Roman" w:eastAsia="仿宋" w:cs="Times New Roman"/>
          <w:sz w:val="32"/>
          <w:szCs w:val="32"/>
        </w:rPr>
        <w:t>苏州市</w:t>
      </w:r>
      <w:r>
        <w:rPr>
          <w:rFonts w:hint="eastAsia" w:ascii="Times New Roman" w:hAnsi="Times New Roman" w:eastAsia="仿宋" w:cs="Times New Roman"/>
          <w:sz w:val="32"/>
          <w:szCs w:val="32"/>
        </w:rPr>
        <w:t>应急管理局</w:t>
      </w:r>
      <w:r>
        <w:rPr>
          <w:rFonts w:ascii="Times New Roman" w:hAnsi="Times New Roman" w:eastAsia="仿宋" w:cs="Times New Roman"/>
          <w:sz w:val="32"/>
          <w:szCs w:val="32"/>
        </w:rPr>
        <w:t>编制</w:t>
      </w:r>
    </w:p>
    <w:p>
      <w:pPr>
        <w:snapToGrid w:val="0"/>
        <w:spacing w:before="187" w:after="187"/>
        <w:jc w:val="center"/>
        <w:rPr>
          <w:rFonts w:ascii="宋体" w:hAnsi="宋体" w:eastAsia="宋体"/>
          <w:b/>
          <w:bCs/>
          <w:sz w:val="44"/>
          <w:szCs w:val="44"/>
        </w:rPr>
      </w:pPr>
    </w:p>
    <w:p>
      <w:pPr>
        <w:snapToGrid w:val="0"/>
        <w:spacing w:before="187" w:after="187"/>
        <w:jc w:val="center"/>
        <w:rPr>
          <w:rFonts w:ascii="宋体" w:hAnsi="宋体" w:eastAsia="宋体"/>
          <w:b/>
          <w:bCs/>
          <w:sz w:val="44"/>
          <w:szCs w:val="44"/>
        </w:rPr>
        <w:sectPr>
          <w:headerReference r:id="rId3" w:type="default"/>
          <w:footerReference r:id="rId4" w:type="default"/>
          <w:pgSz w:w="12240" w:h="15840"/>
          <w:pgMar w:top="1417" w:right="1417" w:bottom="1417" w:left="1417" w:header="851" w:footer="992" w:gutter="0"/>
          <w:pgNumType w:fmt="decimal"/>
          <w:cols w:space="425" w:num="1"/>
          <w:docGrid w:type="lines" w:linePitch="312" w:charSpace="0"/>
        </w:sectPr>
      </w:pPr>
    </w:p>
    <w:sdt>
      <w:sdtPr>
        <w:rPr>
          <w:rFonts w:ascii="Times New Roman" w:hAnsi="Times New Roman" w:eastAsia="黑体" w:cs="Times New Roman"/>
          <w:color w:val="auto"/>
          <w:kern w:val="2"/>
          <w:sz w:val="21"/>
          <w:szCs w:val="22"/>
          <w:lang w:val="zh-CN"/>
        </w:rPr>
        <w:id w:val="1046496450"/>
        <w:docPartObj>
          <w:docPartGallery w:val="Table of Contents"/>
          <w:docPartUnique/>
        </w:docPartObj>
      </w:sdtPr>
      <w:sdtEndPr>
        <w:rPr>
          <w:rFonts w:ascii="Times New Roman" w:hAnsi="Times New Roman" w:cs="Times New Roman" w:eastAsiaTheme="minorEastAsia"/>
          <w:b/>
          <w:bCs/>
          <w:smallCaps/>
          <w:color w:val="auto"/>
          <w:kern w:val="2"/>
          <w:sz w:val="24"/>
          <w:szCs w:val="24"/>
          <w:lang w:val="zh-CN"/>
        </w:rPr>
      </w:sdtEndPr>
      <w:sdtContent>
        <w:p>
          <w:pPr>
            <w:pStyle w:val="29"/>
            <w:jc w:val="center"/>
            <w:rPr>
              <w:rFonts w:ascii="Times New Roman" w:hAnsi="Times New Roman" w:eastAsia="黑体" w:cs="Times New Roman"/>
              <w:color w:val="auto"/>
              <w:sz w:val="36"/>
              <w:szCs w:val="36"/>
            </w:rPr>
          </w:pPr>
          <w:r>
            <w:rPr>
              <w:rFonts w:ascii="Times New Roman" w:hAnsi="Times New Roman" w:eastAsia="黑体" w:cs="Times New Roman"/>
              <w:color w:val="auto"/>
              <w:sz w:val="36"/>
              <w:szCs w:val="36"/>
              <w:lang w:val="zh-CN"/>
            </w:rPr>
            <w:t>目录</w:t>
          </w:r>
        </w:p>
        <w:p>
          <w:pPr>
            <w:pStyle w:val="13"/>
            <w:tabs>
              <w:tab w:val="left" w:pos="420"/>
              <w:tab w:val="right" w:leader="dot" w:pos="9396"/>
            </w:tabs>
            <w:rPr>
              <w:rFonts w:cstheme="minorBidi"/>
              <w:b w:val="0"/>
              <w:bCs w:val="0"/>
              <w:caps w:val="0"/>
              <w:sz w:val="21"/>
              <w:szCs w:val="22"/>
            </w:rPr>
          </w:pPr>
          <w:r>
            <w:rPr>
              <w:rFonts w:ascii="Times New Roman" w:hAnsi="Times New Roman" w:cs="Times New Roman"/>
              <w:bCs w:val="0"/>
              <w:sz w:val="24"/>
              <w:szCs w:val="24"/>
            </w:rPr>
            <w:fldChar w:fldCharType="begin"/>
          </w:r>
          <w:r>
            <w:rPr>
              <w:rFonts w:ascii="Times New Roman" w:hAnsi="Times New Roman" w:cs="Times New Roman"/>
              <w:bCs w:val="0"/>
              <w:sz w:val="24"/>
              <w:szCs w:val="24"/>
            </w:rPr>
            <w:instrText xml:space="preserve"> TOC \o "1-3" \h \z \u </w:instrText>
          </w:r>
          <w:r>
            <w:rPr>
              <w:rFonts w:ascii="Times New Roman" w:hAnsi="Times New Roman" w:cs="Times New Roman"/>
              <w:bCs w:val="0"/>
              <w:sz w:val="24"/>
              <w:szCs w:val="24"/>
            </w:rPr>
            <w:fldChar w:fldCharType="separate"/>
          </w:r>
          <w:r>
            <w:fldChar w:fldCharType="begin"/>
          </w:r>
          <w:r>
            <w:instrText xml:space="preserve"> HYPERLINK \l "_Toc85809970" </w:instrText>
          </w:r>
          <w:r>
            <w:fldChar w:fldCharType="separate"/>
          </w:r>
          <w:r>
            <w:rPr>
              <w:rStyle w:val="24"/>
              <w:rFonts w:ascii="黑体" w:hAnsi="黑体" w:eastAsia="黑体" w:cs="黑体"/>
              <w:color w:val="auto"/>
            </w:rPr>
            <w:t>1</w:t>
          </w:r>
          <w:r>
            <w:rPr>
              <w:rFonts w:cstheme="minorBidi"/>
              <w:b w:val="0"/>
              <w:bCs w:val="0"/>
              <w:caps w:val="0"/>
              <w:sz w:val="21"/>
              <w:szCs w:val="22"/>
            </w:rPr>
            <w:tab/>
          </w:r>
          <w:r>
            <w:rPr>
              <w:rStyle w:val="24"/>
              <w:rFonts w:ascii="黑体" w:hAnsi="黑体" w:eastAsia="黑体"/>
              <w:color w:val="auto"/>
            </w:rPr>
            <w:t>适用范围</w:t>
          </w:r>
          <w:r>
            <w:tab/>
          </w:r>
          <w:r>
            <w:fldChar w:fldCharType="begin"/>
          </w:r>
          <w:r>
            <w:instrText xml:space="preserve"> PAGEREF _Toc85809970 \h </w:instrText>
          </w:r>
          <w:r>
            <w:fldChar w:fldCharType="separate"/>
          </w:r>
          <w:r>
            <w:t>1</w:t>
          </w:r>
          <w:r>
            <w:fldChar w:fldCharType="end"/>
          </w:r>
          <w:r>
            <w:fldChar w:fldCharType="end"/>
          </w:r>
        </w:p>
        <w:p>
          <w:pPr>
            <w:pStyle w:val="13"/>
            <w:tabs>
              <w:tab w:val="left" w:pos="420"/>
              <w:tab w:val="right" w:leader="dot" w:pos="9396"/>
            </w:tabs>
            <w:rPr>
              <w:rFonts w:cstheme="minorBidi"/>
              <w:b w:val="0"/>
              <w:bCs w:val="0"/>
              <w:caps w:val="0"/>
              <w:sz w:val="21"/>
              <w:szCs w:val="22"/>
            </w:rPr>
          </w:pPr>
          <w:r>
            <w:fldChar w:fldCharType="begin"/>
          </w:r>
          <w:r>
            <w:instrText xml:space="preserve"> HYPERLINK \l "_Toc85809971" </w:instrText>
          </w:r>
          <w:r>
            <w:fldChar w:fldCharType="separate"/>
          </w:r>
          <w:r>
            <w:rPr>
              <w:rStyle w:val="24"/>
              <w:rFonts w:ascii="黑体" w:hAnsi="黑体" w:eastAsia="黑体" w:cs="黑体"/>
              <w:color w:val="auto"/>
            </w:rPr>
            <w:t>2</w:t>
          </w:r>
          <w:r>
            <w:rPr>
              <w:rFonts w:cstheme="minorBidi"/>
              <w:b w:val="0"/>
              <w:bCs w:val="0"/>
              <w:caps w:val="0"/>
              <w:sz w:val="21"/>
              <w:szCs w:val="22"/>
            </w:rPr>
            <w:tab/>
          </w:r>
          <w:r>
            <w:rPr>
              <w:rStyle w:val="24"/>
              <w:rFonts w:ascii="黑体" w:hAnsi="黑体" w:eastAsia="黑体"/>
              <w:color w:val="auto"/>
            </w:rPr>
            <w:t>规范性引用文件</w:t>
          </w:r>
          <w:r>
            <w:tab/>
          </w:r>
          <w:r>
            <w:fldChar w:fldCharType="begin"/>
          </w:r>
          <w:r>
            <w:instrText xml:space="preserve"> PAGEREF _Toc85809971 \h </w:instrText>
          </w:r>
          <w:r>
            <w:fldChar w:fldCharType="separate"/>
          </w:r>
          <w:r>
            <w:t>1</w:t>
          </w:r>
          <w:r>
            <w:fldChar w:fldCharType="end"/>
          </w:r>
          <w:r>
            <w:fldChar w:fldCharType="end"/>
          </w:r>
        </w:p>
        <w:p>
          <w:pPr>
            <w:pStyle w:val="13"/>
            <w:tabs>
              <w:tab w:val="left" w:pos="420"/>
              <w:tab w:val="right" w:leader="dot" w:pos="9396"/>
            </w:tabs>
            <w:rPr>
              <w:rFonts w:cstheme="minorBidi"/>
              <w:b w:val="0"/>
              <w:bCs w:val="0"/>
              <w:caps w:val="0"/>
              <w:sz w:val="21"/>
              <w:szCs w:val="22"/>
            </w:rPr>
          </w:pPr>
          <w:r>
            <w:fldChar w:fldCharType="begin"/>
          </w:r>
          <w:r>
            <w:instrText xml:space="preserve"> HYPERLINK \l "_Toc85809972" </w:instrText>
          </w:r>
          <w:r>
            <w:fldChar w:fldCharType="separate"/>
          </w:r>
          <w:r>
            <w:rPr>
              <w:rStyle w:val="24"/>
              <w:rFonts w:ascii="黑体" w:hAnsi="黑体" w:eastAsia="黑体" w:cs="黑体"/>
              <w:color w:val="auto"/>
            </w:rPr>
            <w:t>3</w:t>
          </w:r>
          <w:r>
            <w:rPr>
              <w:rFonts w:cstheme="minorBidi"/>
              <w:b w:val="0"/>
              <w:bCs w:val="0"/>
              <w:caps w:val="0"/>
              <w:sz w:val="21"/>
              <w:szCs w:val="22"/>
            </w:rPr>
            <w:tab/>
          </w:r>
          <w:r>
            <w:rPr>
              <w:rStyle w:val="24"/>
              <w:rFonts w:ascii="黑体" w:hAnsi="黑体" w:eastAsia="黑体"/>
              <w:color w:val="auto"/>
            </w:rPr>
            <w:t>危险化学品管理要求</w:t>
          </w:r>
          <w:r>
            <w:tab/>
          </w:r>
          <w:r>
            <w:fldChar w:fldCharType="begin"/>
          </w:r>
          <w:r>
            <w:instrText xml:space="preserve"> PAGEREF _Toc85809972 \h </w:instrText>
          </w:r>
          <w:r>
            <w:fldChar w:fldCharType="separate"/>
          </w:r>
          <w:r>
            <w:t>1</w:t>
          </w:r>
          <w:r>
            <w:fldChar w:fldCharType="end"/>
          </w:r>
          <w:r>
            <w:fldChar w:fldCharType="end"/>
          </w:r>
        </w:p>
        <w:p>
          <w:pPr>
            <w:pStyle w:val="16"/>
            <w:tabs>
              <w:tab w:val="left" w:pos="840"/>
              <w:tab w:val="right" w:leader="dot" w:pos="9396"/>
            </w:tabs>
            <w:rPr>
              <w:rFonts w:hint="eastAsia" w:ascii="黑体" w:hAnsi="黑体" w:eastAsia="黑体" w:cs="黑体"/>
              <w:smallCaps w:val="0"/>
              <w:sz w:val="21"/>
              <w:szCs w:val="22"/>
            </w:rPr>
          </w:pPr>
          <w:r>
            <w:rPr>
              <w:rFonts w:hint="eastAsia" w:ascii="黑体" w:hAnsi="黑体" w:eastAsia="黑体" w:cs="黑体"/>
            </w:rPr>
            <w:fldChar w:fldCharType="begin"/>
          </w:r>
          <w:r>
            <w:rPr>
              <w:rFonts w:hint="eastAsia" w:ascii="黑体" w:hAnsi="黑体" w:eastAsia="黑体" w:cs="黑体"/>
            </w:rPr>
            <w:instrText xml:space="preserve"> HYPERLINK \l "_Toc85809973" </w:instrText>
          </w:r>
          <w:r>
            <w:rPr>
              <w:rFonts w:hint="eastAsia" w:ascii="黑体" w:hAnsi="黑体" w:eastAsia="黑体" w:cs="黑体"/>
            </w:rPr>
            <w:fldChar w:fldCharType="separate"/>
          </w:r>
          <w:r>
            <w:rPr>
              <w:rStyle w:val="24"/>
              <w:rFonts w:hint="eastAsia" w:ascii="黑体" w:hAnsi="黑体" w:eastAsia="黑体" w:cs="黑体"/>
              <w:bCs/>
              <w:color w:val="auto"/>
            </w:rPr>
            <w:t>3.1</w:t>
          </w:r>
          <w:r>
            <w:rPr>
              <w:rFonts w:hint="eastAsia" w:ascii="黑体" w:hAnsi="黑体" w:eastAsia="黑体" w:cs="黑体"/>
              <w:smallCaps w:val="0"/>
              <w:sz w:val="21"/>
              <w:szCs w:val="22"/>
            </w:rPr>
            <w:tab/>
          </w:r>
          <w:r>
            <w:rPr>
              <w:rStyle w:val="24"/>
              <w:rFonts w:hint="eastAsia" w:ascii="黑体" w:hAnsi="黑体" w:eastAsia="黑体" w:cs="黑体"/>
              <w:color w:val="auto"/>
            </w:rPr>
            <w:t>危险化学品通用要求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_Toc85809973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rPr>
            <w:fldChar w:fldCharType="end"/>
          </w:r>
        </w:p>
        <w:p>
          <w:pPr>
            <w:pStyle w:val="16"/>
            <w:tabs>
              <w:tab w:val="left" w:pos="840"/>
              <w:tab w:val="right" w:leader="dot" w:pos="939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"_Toc85809974" </w:instrText>
          </w:r>
          <w:r>
            <w:rPr>
              <w:rFonts w:hint="eastAsia" w:ascii="黑体" w:hAnsi="黑体" w:eastAsia="黑体" w:cs="黑体"/>
            </w:rPr>
            <w:fldChar w:fldCharType="separate"/>
          </w:r>
          <w:r>
            <w:rPr>
              <w:rFonts w:hint="eastAsia" w:ascii="黑体" w:hAnsi="黑体" w:eastAsia="黑体" w:cs="黑体"/>
            </w:rPr>
            <w:t>3.2</w:t>
          </w:r>
          <w:r>
            <w:rPr>
              <w:rFonts w:hint="eastAsia" w:ascii="黑体" w:hAnsi="黑体" w:eastAsia="黑体" w:cs="黑体"/>
            </w:rPr>
            <w:tab/>
          </w:r>
          <w:r>
            <w:rPr>
              <w:rFonts w:hint="eastAsia" w:ascii="黑体" w:hAnsi="黑体" w:eastAsia="黑体" w:cs="黑体"/>
            </w:rPr>
            <w:t>燃爆性危险化学品一般要求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_Toc85809974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pPr>
            <w:pStyle w:val="16"/>
            <w:tabs>
              <w:tab w:val="left" w:pos="840"/>
              <w:tab w:val="right" w:leader="dot" w:pos="939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"_Toc85809975" </w:instrText>
          </w:r>
          <w:r>
            <w:rPr>
              <w:rFonts w:hint="eastAsia" w:ascii="黑体" w:hAnsi="黑体" w:eastAsia="黑体" w:cs="黑体"/>
            </w:rPr>
            <w:fldChar w:fldCharType="separate"/>
          </w:r>
          <w:r>
            <w:rPr>
              <w:rFonts w:hint="eastAsia" w:ascii="黑体" w:hAnsi="黑体" w:eastAsia="黑体" w:cs="黑体"/>
            </w:rPr>
            <w:t>3.2.1</w:t>
          </w:r>
          <w:r>
            <w:rPr>
              <w:rFonts w:hint="eastAsia" w:ascii="黑体" w:hAnsi="黑体" w:eastAsia="黑体" w:cs="黑体"/>
            </w:rPr>
            <w:tab/>
          </w:r>
          <w:r>
            <w:rPr>
              <w:rFonts w:hint="eastAsia" w:ascii="黑体" w:hAnsi="黑体" w:eastAsia="黑体" w:cs="黑体"/>
            </w:rPr>
            <w:t>保险粉、电石等固体类有燃爆风险的危险化学品使用储存要求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_Toc85809975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pPr>
            <w:pStyle w:val="16"/>
            <w:tabs>
              <w:tab w:val="left" w:pos="840"/>
              <w:tab w:val="right" w:leader="dot" w:pos="939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"_Toc85809976" </w:instrText>
          </w:r>
          <w:r>
            <w:rPr>
              <w:rFonts w:hint="eastAsia" w:ascii="黑体" w:hAnsi="黑体" w:eastAsia="黑体" w:cs="黑体"/>
            </w:rPr>
            <w:fldChar w:fldCharType="separate"/>
          </w:r>
          <w:r>
            <w:rPr>
              <w:rFonts w:hint="eastAsia" w:ascii="黑体" w:hAnsi="黑体" w:eastAsia="黑体" w:cs="黑体"/>
            </w:rPr>
            <w:t>3.2.2</w:t>
          </w:r>
          <w:r>
            <w:rPr>
              <w:rFonts w:hint="eastAsia" w:ascii="黑体" w:hAnsi="黑体" w:eastAsia="黑体" w:cs="黑体"/>
            </w:rPr>
            <w:tab/>
          </w:r>
          <w:r>
            <w:rPr>
              <w:rFonts w:hint="eastAsia" w:ascii="黑体" w:hAnsi="黑体" w:eastAsia="黑体" w:cs="黑体"/>
            </w:rPr>
            <w:t>乙醇、乙酸乙酯、丙酮、甲醇、甲苯等易燃液体类危险化学品使用储存要求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_Toc85809976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rPr>
            <w:fldChar w:fldCharType="end"/>
          </w:r>
        </w:p>
        <w:p>
          <w:pPr>
            <w:pStyle w:val="16"/>
            <w:tabs>
              <w:tab w:val="left" w:pos="840"/>
              <w:tab w:val="right" w:leader="dot" w:pos="939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"_Toc85809977" </w:instrText>
          </w:r>
          <w:r>
            <w:rPr>
              <w:rFonts w:hint="eastAsia" w:ascii="黑体" w:hAnsi="黑体" w:eastAsia="黑体" w:cs="黑体"/>
            </w:rPr>
            <w:fldChar w:fldCharType="separate"/>
          </w:r>
          <w:r>
            <w:rPr>
              <w:rFonts w:hint="eastAsia" w:ascii="黑体" w:hAnsi="黑体" w:eastAsia="黑体" w:cs="黑体"/>
            </w:rPr>
            <w:t>3.2.3</w:t>
          </w:r>
          <w:r>
            <w:rPr>
              <w:rFonts w:hint="eastAsia" w:ascii="黑体" w:hAnsi="黑体" w:eastAsia="黑体" w:cs="黑体"/>
            </w:rPr>
            <w:tab/>
          </w:r>
          <w:r>
            <w:rPr>
              <w:rFonts w:hint="eastAsia" w:ascii="黑体" w:hAnsi="黑体" w:eastAsia="黑体" w:cs="黑体"/>
            </w:rPr>
            <w:t>乙炔、天然气、氢气、液化石油气等易燃气体类危险化学品使用储存要求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_Toc85809977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rPr>
            <w:fldChar w:fldCharType="end"/>
          </w:r>
        </w:p>
        <w:p>
          <w:pPr>
            <w:pStyle w:val="16"/>
            <w:tabs>
              <w:tab w:val="left" w:pos="840"/>
              <w:tab w:val="right" w:leader="dot" w:pos="939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"_Toc85809978" </w:instrText>
          </w:r>
          <w:r>
            <w:rPr>
              <w:rFonts w:hint="eastAsia" w:ascii="黑体" w:hAnsi="黑体" w:eastAsia="黑体" w:cs="黑体"/>
            </w:rPr>
            <w:fldChar w:fldCharType="separate"/>
          </w:r>
          <w:r>
            <w:rPr>
              <w:rFonts w:hint="eastAsia" w:ascii="黑体" w:hAnsi="黑体" w:eastAsia="黑体" w:cs="黑体"/>
            </w:rPr>
            <w:t>3.2.5</w:t>
          </w:r>
          <w:r>
            <w:rPr>
              <w:rFonts w:hint="eastAsia" w:ascii="黑体" w:hAnsi="黑体" w:eastAsia="黑体" w:cs="黑体"/>
            </w:rPr>
            <w:tab/>
          </w:r>
          <w:r>
            <w:rPr>
              <w:rFonts w:hint="eastAsia" w:ascii="黑体" w:hAnsi="黑体" w:eastAsia="黑体" w:cs="黑体"/>
            </w:rPr>
            <w:t>炸药等爆炸物类危险化学品使用储存要求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_Toc85809978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rPr>
            <w:fldChar w:fldCharType="end"/>
          </w:r>
        </w:p>
        <w:p>
          <w:pPr>
            <w:pStyle w:val="16"/>
            <w:tabs>
              <w:tab w:val="left" w:pos="840"/>
              <w:tab w:val="right" w:leader="dot" w:pos="939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"_Toc85809979" </w:instrText>
          </w:r>
          <w:r>
            <w:rPr>
              <w:rFonts w:hint="eastAsia" w:ascii="黑体" w:hAnsi="黑体" w:eastAsia="黑体" w:cs="黑体"/>
            </w:rPr>
            <w:fldChar w:fldCharType="separate"/>
          </w:r>
          <w:r>
            <w:rPr>
              <w:rFonts w:hint="eastAsia" w:ascii="黑体" w:hAnsi="黑体" w:eastAsia="黑体" w:cs="黑体"/>
            </w:rPr>
            <w:t>3.3</w:t>
          </w:r>
          <w:r>
            <w:rPr>
              <w:rFonts w:hint="eastAsia" w:ascii="黑体" w:hAnsi="黑体" w:eastAsia="黑体" w:cs="黑体"/>
            </w:rPr>
            <w:tab/>
          </w:r>
          <w:r>
            <w:rPr>
              <w:rFonts w:hint="eastAsia" w:ascii="黑体" w:hAnsi="黑体" w:eastAsia="黑体" w:cs="黑体"/>
            </w:rPr>
            <w:t>毒害性危险化学品一般要求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_Toc85809979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rPr>
            <w:fldChar w:fldCharType="end"/>
          </w:r>
        </w:p>
        <w:p>
          <w:pPr>
            <w:pStyle w:val="16"/>
            <w:tabs>
              <w:tab w:val="left" w:pos="840"/>
              <w:tab w:val="right" w:leader="dot" w:pos="939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"_Toc85809980" </w:instrText>
          </w:r>
          <w:r>
            <w:rPr>
              <w:rFonts w:hint="eastAsia" w:ascii="黑体" w:hAnsi="黑体" w:eastAsia="黑体" w:cs="黑体"/>
            </w:rPr>
            <w:fldChar w:fldCharType="separate"/>
          </w:r>
          <w:r>
            <w:rPr>
              <w:rFonts w:hint="eastAsia" w:ascii="黑体" w:hAnsi="黑体" w:eastAsia="黑体" w:cs="黑体"/>
            </w:rPr>
            <w:t>3.3.1</w:t>
          </w:r>
          <w:r>
            <w:rPr>
              <w:rFonts w:hint="eastAsia" w:ascii="黑体" w:hAnsi="黑体" w:eastAsia="黑体" w:cs="黑体"/>
            </w:rPr>
            <w:tab/>
          </w:r>
          <w:r>
            <w:rPr>
              <w:rFonts w:hint="eastAsia" w:ascii="黑体" w:hAnsi="黑体" w:eastAsia="黑体" w:cs="黑体"/>
            </w:rPr>
            <w:t>氯气、氰化钾、氰化钠等剧毒类危险化学品使用储存要求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_Toc85809980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rPr>
            <w:fldChar w:fldCharType="end"/>
          </w:r>
        </w:p>
        <w:p>
          <w:pPr>
            <w:pStyle w:val="16"/>
            <w:tabs>
              <w:tab w:val="left" w:pos="840"/>
              <w:tab w:val="right" w:leader="dot" w:pos="939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"_Toc85809981" </w:instrText>
          </w:r>
          <w:r>
            <w:rPr>
              <w:rFonts w:hint="eastAsia" w:ascii="黑体" w:hAnsi="黑体" w:eastAsia="黑体" w:cs="黑体"/>
            </w:rPr>
            <w:fldChar w:fldCharType="separate"/>
          </w:r>
          <w:r>
            <w:rPr>
              <w:rFonts w:hint="eastAsia" w:ascii="黑体" w:hAnsi="黑体" w:eastAsia="黑体" w:cs="黑体"/>
            </w:rPr>
            <w:t>3.3.2</w:t>
          </w:r>
          <w:r>
            <w:rPr>
              <w:rFonts w:hint="eastAsia" w:ascii="黑体" w:hAnsi="黑体" w:eastAsia="黑体" w:cs="黑体"/>
            </w:rPr>
            <w:tab/>
          </w:r>
          <w:r>
            <w:rPr>
              <w:rFonts w:hint="eastAsia" w:ascii="黑体" w:hAnsi="黑体" w:eastAsia="黑体" w:cs="黑体"/>
            </w:rPr>
            <w:t>氨等高毒类危险化学品使用储存要求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_Toc85809981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rPr>
            <w:fldChar w:fldCharType="end"/>
          </w:r>
        </w:p>
        <w:p>
          <w:pPr>
            <w:pStyle w:val="16"/>
            <w:tabs>
              <w:tab w:val="left" w:pos="840"/>
              <w:tab w:val="right" w:leader="dot" w:pos="939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"_Toc85809979"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lang w:val="en-US" w:eastAsia="zh-CN"/>
            </w:rPr>
            <w:t>4</w:t>
          </w:r>
          <w:r>
            <w:rPr>
              <w:rFonts w:hint="eastAsia" w:ascii="黑体" w:hAnsi="黑体" w:eastAsia="黑体" w:cs="黑体"/>
            </w:rPr>
            <w:tab/>
          </w:r>
          <w:r>
            <w:rPr>
              <w:rFonts w:hint="eastAsia" w:ascii="黑体" w:hAnsi="黑体" w:eastAsia="黑体" w:cs="黑体"/>
              <w:lang w:val="en-US" w:eastAsia="zh-CN"/>
            </w:rPr>
            <w:t>腐蚀</w:t>
          </w:r>
          <w:r>
            <w:rPr>
              <w:rFonts w:hint="eastAsia" w:ascii="黑体" w:hAnsi="黑体" w:eastAsia="黑体" w:cs="黑体"/>
            </w:rPr>
            <w:t>性危险化学品一般要求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_Toc85809979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rPr>
            <w:fldChar w:fldCharType="end"/>
          </w:r>
        </w:p>
        <w:p>
          <w:pPr>
            <w:pStyle w:val="16"/>
            <w:tabs>
              <w:tab w:val="left" w:pos="840"/>
              <w:tab w:val="right" w:leader="dot" w:pos="939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"_Toc85809980"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lang w:val="en-US" w:eastAsia="zh-CN"/>
            </w:rPr>
            <w:t>4</w:t>
          </w:r>
          <w:r>
            <w:rPr>
              <w:rFonts w:hint="eastAsia" w:ascii="黑体" w:hAnsi="黑体" w:eastAsia="黑体" w:cs="黑体"/>
            </w:rPr>
            <w:t>.1</w:t>
          </w:r>
          <w:r>
            <w:rPr>
              <w:rFonts w:hint="eastAsia" w:ascii="黑体" w:hAnsi="黑体" w:eastAsia="黑体" w:cs="黑体"/>
            </w:rPr>
            <w:tab/>
          </w:r>
          <w:r>
            <w:rPr>
              <w:rFonts w:hint="eastAsia" w:ascii="黑体" w:hAnsi="黑体" w:eastAsia="黑体" w:cs="黑体"/>
            </w:rPr>
            <w:t>氢氧化钠、硫酸、盐酸等腐蚀性非气态类危险化学品使用储存要求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_Toc85809980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rPr>
            <w:fldChar w:fldCharType="end"/>
          </w:r>
        </w:p>
        <w:p>
          <w:pPr>
            <w:pStyle w:val="16"/>
            <w:tabs>
              <w:tab w:val="left" w:pos="840"/>
              <w:tab w:val="right" w:leader="dot" w:pos="9396"/>
            </w:tabs>
          </w:pPr>
          <w:r>
            <w:rPr>
              <w:rFonts w:hint="eastAsia" w:ascii="黑体" w:hAnsi="黑体" w:eastAsia="黑体" w:cs="黑体"/>
            </w:rPr>
            <w:fldChar w:fldCharType="begin"/>
          </w:r>
          <w:r>
            <w:rPr>
              <w:rFonts w:hint="eastAsia" w:ascii="黑体" w:hAnsi="黑体" w:eastAsia="黑体" w:cs="黑体"/>
            </w:rPr>
            <w:instrText xml:space="preserve"> HYPERLINK \l "_Toc85809980"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lang w:val="en-US" w:eastAsia="zh-CN"/>
            </w:rPr>
            <w:t>4</w:t>
          </w:r>
          <w:r>
            <w:rPr>
              <w:rFonts w:hint="eastAsia" w:ascii="黑体" w:hAnsi="黑体" w:eastAsia="黑体" w:cs="黑体"/>
            </w:rPr>
            <w:t>.</w:t>
          </w:r>
          <w:r>
            <w:rPr>
              <w:rFonts w:hint="eastAsia" w:ascii="黑体" w:hAnsi="黑体" w:eastAsia="黑体" w:cs="黑体"/>
              <w:lang w:val="en-US" w:eastAsia="zh-CN"/>
            </w:rPr>
            <w:t>2</w:t>
          </w:r>
          <w:r>
            <w:rPr>
              <w:rFonts w:hint="eastAsia" w:ascii="黑体" w:hAnsi="黑体" w:eastAsia="黑体" w:cs="黑体"/>
            </w:rPr>
            <w:tab/>
          </w:r>
          <w:r>
            <w:rPr>
              <w:rFonts w:hint="eastAsia" w:ascii="黑体" w:hAnsi="黑体" w:eastAsia="黑体" w:cs="黑体"/>
            </w:rPr>
            <w:t>二氧化硫等腐蚀性气态类危险化学品使用储存要求</w:t>
          </w:r>
          <w:r>
            <w:rPr>
              <w:rFonts w:hint="eastAsia" w:ascii="黑体" w:hAnsi="黑体" w:eastAsia="黑体" w:cs="黑体"/>
            </w:rPr>
            <w:tab/>
          </w:r>
          <w:r>
            <w:rPr>
              <w:rFonts w:hint="eastAsia" w:ascii="黑体" w:hAnsi="黑体" w:eastAsia="黑体" w:cs="黑体"/>
              <w:lang w:val="en-US" w:eastAsia="zh-CN"/>
            </w:rPr>
            <w:t>8</w:t>
          </w:r>
          <w:r>
            <w:rPr>
              <w:rFonts w:hint="eastAsia" w:ascii="黑体" w:hAnsi="黑体" w:eastAsia="黑体" w:cs="黑体"/>
            </w:rPr>
            <w:fldChar w:fldCharType="end"/>
          </w:r>
        </w:p>
        <w:p>
          <w:pPr>
            <w:pStyle w:val="13"/>
            <w:tabs>
              <w:tab w:val="left" w:pos="420"/>
              <w:tab w:val="right" w:leader="dot" w:pos="9396"/>
            </w:tabs>
            <w:rPr>
              <w:rFonts w:cstheme="minorBidi"/>
              <w:b w:val="0"/>
              <w:bCs w:val="0"/>
              <w:caps w:val="0"/>
              <w:sz w:val="21"/>
              <w:szCs w:val="22"/>
            </w:rPr>
          </w:pPr>
          <w:r>
            <w:fldChar w:fldCharType="begin"/>
          </w:r>
          <w:r>
            <w:instrText xml:space="preserve"> HYPERLINK \l "_Toc85809982" </w:instrText>
          </w:r>
          <w:r>
            <w:fldChar w:fldCharType="separate"/>
          </w:r>
          <w:r>
            <w:rPr>
              <w:rStyle w:val="24"/>
              <w:rFonts w:ascii="黑体" w:hAnsi="黑体" w:eastAsia="黑体" w:cs="黑体"/>
              <w:color w:val="auto"/>
            </w:rPr>
            <w:t>4</w:t>
          </w:r>
          <w:r>
            <w:rPr>
              <w:rFonts w:cstheme="minorBidi"/>
              <w:b w:val="0"/>
              <w:bCs w:val="0"/>
              <w:caps w:val="0"/>
              <w:sz w:val="21"/>
              <w:szCs w:val="22"/>
            </w:rPr>
            <w:tab/>
          </w:r>
          <w:r>
            <w:rPr>
              <w:rStyle w:val="24"/>
              <w:rFonts w:ascii="黑体" w:hAnsi="黑体" w:eastAsia="黑体"/>
              <w:color w:val="auto"/>
            </w:rPr>
            <w:t>重点行业领域企业安全管理要求</w:t>
          </w:r>
          <w:r>
            <w:tab/>
          </w:r>
          <w:r>
            <w:fldChar w:fldCharType="begin"/>
          </w:r>
          <w:r>
            <w:instrText xml:space="preserve"> PAGEREF _Toc85809982 \h </w:instrText>
          </w:r>
          <w:r>
            <w:fldChar w:fldCharType="separate"/>
          </w:r>
          <w:r>
            <w:t>9</w:t>
          </w:r>
          <w:r>
            <w:fldChar w:fldCharType="end"/>
          </w:r>
          <w:r>
            <w:fldChar w:fldCharType="end"/>
          </w:r>
        </w:p>
        <w:p>
          <w:pPr>
            <w:pStyle w:val="16"/>
            <w:tabs>
              <w:tab w:val="left" w:pos="840"/>
              <w:tab w:val="right" w:leader="dot" w:pos="9396"/>
            </w:tabs>
            <w:rPr>
              <w:rFonts w:hint="eastAsia" w:ascii="黑体" w:hAnsi="黑体" w:eastAsia="黑体" w:cs="黑体"/>
              <w:smallCaps w:val="0"/>
              <w:sz w:val="21"/>
              <w:szCs w:val="22"/>
            </w:rPr>
          </w:pPr>
          <w:r>
            <w:rPr>
              <w:rFonts w:hint="eastAsia" w:ascii="黑体" w:hAnsi="黑体" w:eastAsia="黑体" w:cs="黑体"/>
            </w:rPr>
            <w:fldChar w:fldCharType="begin"/>
          </w:r>
          <w:r>
            <w:rPr>
              <w:rFonts w:hint="eastAsia" w:ascii="黑体" w:hAnsi="黑体" w:eastAsia="黑体" w:cs="黑体"/>
            </w:rPr>
            <w:instrText xml:space="preserve"> HYPERLINK \l "_Toc85809983" </w:instrText>
          </w:r>
          <w:r>
            <w:rPr>
              <w:rFonts w:hint="eastAsia" w:ascii="黑体" w:hAnsi="黑体" w:eastAsia="黑体" w:cs="黑体"/>
            </w:rPr>
            <w:fldChar w:fldCharType="separate"/>
          </w:r>
          <w:r>
            <w:rPr>
              <w:rStyle w:val="24"/>
              <w:rFonts w:hint="eastAsia" w:ascii="黑体" w:hAnsi="黑体" w:eastAsia="黑体" w:cs="黑体"/>
              <w:bCs/>
              <w:color w:val="auto"/>
            </w:rPr>
            <w:t>4.1</w:t>
          </w:r>
          <w:r>
            <w:rPr>
              <w:rFonts w:hint="eastAsia" w:ascii="黑体" w:hAnsi="黑体" w:eastAsia="黑体" w:cs="黑体"/>
              <w:smallCaps w:val="0"/>
              <w:sz w:val="21"/>
              <w:szCs w:val="22"/>
            </w:rPr>
            <w:tab/>
          </w:r>
          <w:r>
            <w:rPr>
              <w:rStyle w:val="24"/>
              <w:rFonts w:hint="eastAsia" w:ascii="黑体" w:hAnsi="黑体" w:eastAsia="黑体" w:cs="黑体"/>
              <w:color w:val="auto"/>
            </w:rPr>
            <w:t>涉重大危险源企业管理要求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_Toc85809983 \h </w:instrText>
          </w:r>
          <w:r>
            <w:rPr>
              <w:rFonts w:hint="eastAsia" w:ascii="黑体" w:hAnsi="黑体" w:eastAsia="黑体" w:cs="黑体"/>
            </w:rPr>
            <w:fldChar w:fldCharType="separate"/>
          </w:r>
          <w:r>
            <w:rPr>
              <w:rFonts w:hint="eastAsia" w:ascii="黑体" w:hAnsi="黑体" w:eastAsia="黑体" w:cs="黑体"/>
            </w:rPr>
            <w:t>9</w:t>
          </w:r>
          <w:r>
            <w:rPr>
              <w:rFonts w:hint="eastAsia" w:ascii="黑体" w:hAnsi="黑体" w:eastAsia="黑体" w:cs="黑体"/>
            </w:rPr>
            <w:fldChar w:fldCharType="end"/>
          </w:r>
          <w:r>
            <w:rPr>
              <w:rFonts w:hint="eastAsia" w:ascii="黑体" w:hAnsi="黑体" w:eastAsia="黑体" w:cs="黑体"/>
            </w:rPr>
            <w:fldChar w:fldCharType="end"/>
          </w:r>
        </w:p>
        <w:p>
          <w:pPr>
            <w:pStyle w:val="16"/>
            <w:tabs>
              <w:tab w:val="left" w:pos="840"/>
              <w:tab w:val="right" w:leader="dot" w:pos="9396"/>
            </w:tabs>
            <w:rPr>
              <w:rFonts w:hint="eastAsia" w:ascii="黑体" w:hAnsi="黑体" w:eastAsia="黑体" w:cs="黑体"/>
              <w:smallCaps w:val="0"/>
              <w:sz w:val="21"/>
              <w:szCs w:val="22"/>
            </w:rPr>
          </w:pPr>
          <w:r>
            <w:rPr>
              <w:rFonts w:hint="eastAsia" w:ascii="黑体" w:hAnsi="黑体" w:eastAsia="黑体" w:cs="黑体"/>
            </w:rPr>
            <w:fldChar w:fldCharType="begin"/>
          </w:r>
          <w:r>
            <w:rPr>
              <w:rFonts w:hint="eastAsia" w:ascii="黑体" w:hAnsi="黑体" w:eastAsia="黑体" w:cs="黑体"/>
            </w:rPr>
            <w:instrText xml:space="preserve"> HYPERLINK \l "_Toc85809984" </w:instrText>
          </w:r>
          <w:r>
            <w:rPr>
              <w:rFonts w:hint="eastAsia" w:ascii="黑体" w:hAnsi="黑体" w:eastAsia="黑体" w:cs="黑体"/>
            </w:rPr>
            <w:fldChar w:fldCharType="separate"/>
          </w:r>
          <w:r>
            <w:rPr>
              <w:rStyle w:val="24"/>
              <w:rFonts w:hint="eastAsia" w:ascii="黑体" w:hAnsi="黑体" w:eastAsia="黑体" w:cs="黑体"/>
              <w:bCs/>
              <w:color w:val="auto"/>
            </w:rPr>
            <w:t>4.2</w:t>
          </w:r>
          <w:r>
            <w:rPr>
              <w:rFonts w:hint="eastAsia" w:ascii="黑体" w:hAnsi="黑体" w:eastAsia="黑体" w:cs="黑体"/>
              <w:smallCaps w:val="0"/>
              <w:sz w:val="21"/>
              <w:szCs w:val="22"/>
            </w:rPr>
            <w:tab/>
          </w:r>
          <w:r>
            <w:rPr>
              <w:rStyle w:val="24"/>
              <w:rFonts w:hint="eastAsia" w:ascii="黑体" w:hAnsi="黑体" w:eastAsia="黑体" w:cs="黑体"/>
              <w:color w:val="auto"/>
            </w:rPr>
            <w:t>涉加氢、聚合重点工艺企业管理要求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_Toc85809984 \h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r>
            <w:rPr>
              <w:rFonts w:hint="eastAsia" w:ascii="黑体" w:hAnsi="黑体" w:eastAsia="黑体" w:cs="黑体"/>
            </w:rPr>
            <w:fldChar w:fldCharType="end"/>
          </w:r>
        </w:p>
        <w:p>
          <w:pPr>
            <w:pStyle w:val="16"/>
            <w:tabs>
              <w:tab w:val="left" w:pos="840"/>
              <w:tab w:val="right" w:leader="dot" w:pos="9396"/>
            </w:tabs>
            <w:rPr>
              <w:rFonts w:hint="eastAsia" w:ascii="黑体" w:hAnsi="黑体" w:eastAsia="黑体" w:cs="黑体"/>
              <w:smallCaps w:val="0"/>
              <w:sz w:val="21"/>
              <w:szCs w:val="22"/>
            </w:rPr>
          </w:pPr>
          <w:r>
            <w:rPr>
              <w:rFonts w:hint="eastAsia" w:ascii="黑体" w:hAnsi="黑体" w:eastAsia="黑体" w:cs="黑体"/>
            </w:rPr>
            <w:fldChar w:fldCharType="begin"/>
          </w:r>
          <w:r>
            <w:rPr>
              <w:rFonts w:hint="eastAsia" w:ascii="黑体" w:hAnsi="黑体" w:eastAsia="黑体" w:cs="黑体"/>
            </w:rPr>
            <w:instrText xml:space="preserve"> HYPERLINK \l "_Toc85809985" </w:instrText>
          </w:r>
          <w:r>
            <w:rPr>
              <w:rFonts w:hint="eastAsia" w:ascii="黑体" w:hAnsi="黑体" w:eastAsia="黑体" w:cs="黑体"/>
            </w:rPr>
            <w:fldChar w:fldCharType="separate"/>
          </w:r>
          <w:r>
            <w:rPr>
              <w:rStyle w:val="24"/>
              <w:rFonts w:hint="eastAsia" w:ascii="黑体" w:hAnsi="黑体" w:eastAsia="黑体" w:cs="黑体"/>
              <w:bCs/>
              <w:color w:val="auto"/>
            </w:rPr>
            <w:t>4.3</w:t>
          </w:r>
          <w:r>
            <w:rPr>
              <w:rFonts w:hint="eastAsia" w:ascii="黑体" w:hAnsi="黑体" w:eastAsia="黑体" w:cs="黑体"/>
              <w:smallCaps w:val="0"/>
              <w:sz w:val="21"/>
              <w:szCs w:val="22"/>
            </w:rPr>
            <w:tab/>
          </w:r>
          <w:r>
            <w:rPr>
              <w:rStyle w:val="24"/>
              <w:rFonts w:hint="eastAsia" w:ascii="黑体" w:hAnsi="黑体" w:eastAsia="黑体" w:cs="黑体"/>
              <w:color w:val="auto"/>
            </w:rPr>
            <w:t>金属熔融企业管理要求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_Toc85809985 \h </w:instrText>
          </w:r>
          <w:r>
            <w:rPr>
              <w:rFonts w:hint="eastAsia" w:ascii="黑体" w:hAnsi="黑体" w:eastAsia="黑体" w:cs="黑体"/>
            </w:rPr>
            <w:fldChar w:fldCharType="separate"/>
          </w:r>
          <w:r>
            <w:rPr>
              <w:rFonts w:hint="eastAsia" w:ascii="黑体" w:hAnsi="黑体" w:eastAsia="黑体" w:cs="黑体"/>
            </w:rPr>
            <w:t>11</w:t>
          </w:r>
          <w:r>
            <w:rPr>
              <w:rFonts w:hint="eastAsia" w:ascii="黑体" w:hAnsi="黑体" w:eastAsia="黑体" w:cs="黑体"/>
            </w:rPr>
            <w:fldChar w:fldCharType="end"/>
          </w:r>
          <w:r>
            <w:rPr>
              <w:rFonts w:hint="eastAsia" w:ascii="黑体" w:hAnsi="黑体" w:eastAsia="黑体" w:cs="黑体"/>
            </w:rPr>
            <w:fldChar w:fldCharType="end"/>
          </w:r>
        </w:p>
        <w:p>
          <w:pPr>
            <w:pStyle w:val="16"/>
            <w:tabs>
              <w:tab w:val="left" w:pos="840"/>
              <w:tab w:val="right" w:leader="dot" w:pos="9396"/>
            </w:tabs>
            <w:rPr>
              <w:rFonts w:hint="eastAsia" w:ascii="黑体" w:hAnsi="黑体" w:eastAsia="黑体" w:cs="黑体"/>
              <w:smallCaps w:val="0"/>
              <w:sz w:val="21"/>
              <w:szCs w:val="22"/>
            </w:rPr>
          </w:pPr>
          <w:r>
            <w:rPr>
              <w:rFonts w:hint="eastAsia" w:ascii="黑体" w:hAnsi="黑体" w:eastAsia="黑体" w:cs="黑体"/>
            </w:rPr>
            <w:fldChar w:fldCharType="begin"/>
          </w:r>
          <w:r>
            <w:rPr>
              <w:rFonts w:hint="eastAsia" w:ascii="黑体" w:hAnsi="黑体" w:eastAsia="黑体" w:cs="黑体"/>
            </w:rPr>
            <w:instrText xml:space="preserve"> HYPERLINK \l "_Toc85809986" </w:instrText>
          </w:r>
          <w:r>
            <w:rPr>
              <w:rFonts w:hint="eastAsia" w:ascii="黑体" w:hAnsi="黑体" w:eastAsia="黑体" w:cs="黑体"/>
            </w:rPr>
            <w:fldChar w:fldCharType="separate"/>
          </w:r>
          <w:r>
            <w:rPr>
              <w:rStyle w:val="24"/>
              <w:rFonts w:hint="eastAsia" w:ascii="黑体" w:hAnsi="黑体" w:eastAsia="黑体" w:cs="黑体"/>
              <w:bCs/>
              <w:color w:val="auto"/>
            </w:rPr>
            <w:t>4.4</w:t>
          </w:r>
          <w:r>
            <w:rPr>
              <w:rFonts w:hint="eastAsia" w:ascii="黑体" w:hAnsi="黑体" w:eastAsia="黑体" w:cs="黑体"/>
              <w:smallCaps w:val="0"/>
              <w:sz w:val="21"/>
              <w:szCs w:val="22"/>
            </w:rPr>
            <w:tab/>
          </w:r>
          <w:r>
            <w:rPr>
              <w:rStyle w:val="24"/>
              <w:rFonts w:hint="eastAsia" w:ascii="黑体" w:hAnsi="黑体" w:eastAsia="黑体" w:cs="黑体"/>
              <w:color w:val="auto"/>
            </w:rPr>
            <w:t>涉氨（制冷、分解）企业管理要求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_Toc85809986 \h </w:instrText>
          </w:r>
          <w:r>
            <w:rPr>
              <w:rFonts w:hint="eastAsia" w:ascii="黑体" w:hAnsi="黑体" w:eastAsia="黑体" w:cs="黑体"/>
            </w:rPr>
            <w:fldChar w:fldCharType="separate"/>
          </w:r>
          <w:r>
            <w:rPr>
              <w:rFonts w:hint="eastAsia" w:ascii="黑体" w:hAnsi="黑体" w:eastAsia="黑体" w:cs="黑体"/>
            </w:rPr>
            <w:t>13</w:t>
          </w:r>
          <w:r>
            <w:rPr>
              <w:rFonts w:hint="eastAsia" w:ascii="黑体" w:hAnsi="黑体" w:eastAsia="黑体" w:cs="黑体"/>
            </w:rPr>
            <w:fldChar w:fldCharType="end"/>
          </w:r>
          <w:r>
            <w:rPr>
              <w:rFonts w:hint="eastAsia" w:ascii="黑体" w:hAnsi="黑体" w:eastAsia="黑体" w:cs="黑体"/>
            </w:rPr>
            <w:fldChar w:fldCharType="end"/>
          </w:r>
        </w:p>
        <w:p>
          <w:pPr>
            <w:pStyle w:val="16"/>
            <w:tabs>
              <w:tab w:val="left" w:pos="840"/>
              <w:tab w:val="right" w:leader="dot" w:pos="9396"/>
            </w:tabs>
            <w:rPr>
              <w:rFonts w:hint="eastAsia" w:ascii="黑体" w:hAnsi="黑体" w:eastAsia="黑体" w:cs="黑体"/>
              <w:smallCaps w:val="0"/>
              <w:sz w:val="21"/>
              <w:szCs w:val="22"/>
            </w:rPr>
          </w:pPr>
          <w:r>
            <w:rPr>
              <w:rFonts w:hint="eastAsia" w:ascii="黑体" w:hAnsi="黑体" w:eastAsia="黑体" w:cs="黑体"/>
            </w:rPr>
            <w:fldChar w:fldCharType="begin"/>
          </w:r>
          <w:r>
            <w:rPr>
              <w:rFonts w:hint="eastAsia" w:ascii="黑体" w:hAnsi="黑体" w:eastAsia="黑体" w:cs="黑体"/>
            </w:rPr>
            <w:instrText xml:space="preserve"> HYPERLINK \l "_Toc85809987" </w:instrText>
          </w:r>
          <w:r>
            <w:rPr>
              <w:rFonts w:hint="eastAsia" w:ascii="黑体" w:hAnsi="黑体" w:eastAsia="黑体" w:cs="黑体"/>
            </w:rPr>
            <w:fldChar w:fldCharType="separate"/>
          </w:r>
          <w:r>
            <w:rPr>
              <w:rStyle w:val="24"/>
              <w:rFonts w:hint="eastAsia" w:ascii="黑体" w:hAnsi="黑体" w:eastAsia="黑体" w:cs="黑体"/>
              <w:bCs/>
              <w:color w:val="auto"/>
            </w:rPr>
            <w:t>4.5</w:t>
          </w:r>
          <w:r>
            <w:rPr>
              <w:rFonts w:hint="eastAsia" w:ascii="黑体" w:hAnsi="黑体" w:eastAsia="黑体" w:cs="黑体"/>
              <w:smallCaps w:val="0"/>
              <w:sz w:val="21"/>
              <w:szCs w:val="22"/>
            </w:rPr>
            <w:tab/>
          </w:r>
          <w:r>
            <w:rPr>
              <w:rStyle w:val="24"/>
              <w:rFonts w:hint="eastAsia" w:ascii="黑体" w:hAnsi="黑体" w:eastAsia="黑体" w:cs="黑体"/>
              <w:color w:val="auto"/>
            </w:rPr>
            <w:t>喷涂企业管理要求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_Toc85809987 \h </w:instrText>
          </w:r>
          <w:r>
            <w:rPr>
              <w:rFonts w:hint="eastAsia" w:ascii="黑体" w:hAnsi="黑体" w:eastAsia="黑体" w:cs="黑体"/>
            </w:rPr>
            <w:fldChar w:fldCharType="separate"/>
          </w:r>
          <w:r>
            <w:rPr>
              <w:rFonts w:hint="eastAsia" w:ascii="黑体" w:hAnsi="黑体" w:eastAsia="黑体" w:cs="黑体"/>
            </w:rPr>
            <w:t>16</w:t>
          </w:r>
          <w:r>
            <w:rPr>
              <w:rFonts w:hint="eastAsia" w:ascii="黑体" w:hAnsi="黑体" w:eastAsia="黑体" w:cs="黑体"/>
            </w:rPr>
            <w:fldChar w:fldCharType="end"/>
          </w:r>
          <w:r>
            <w:rPr>
              <w:rFonts w:hint="eastAsia" w:ascii="黑体" w:hAnsi="黑体" w:eastAsia="黑体" w:cs="黑体"/>
            </w:rPr>
            <w:fldChar w:fldCharType="end"/>
          </w:r>
        </w:p>
        <w:p>
          <w:pPr>
            <w:pStyle w:val="16"/>
            <w:tabs>
              <w:tab w:val="left" w:pos="840"/>
              <w:tab w:val="right" w:leader="dot" w:pos="9396"/>
            </w:tabs>
            <w:rPr>
              <w:rFonts w:hint="eastAsia" w:ascii="黑体" w:hAnsi="黑体" w:eastAsia="黑体" w:cs="黑体"/>
              <w:smallCaps w:val="0"/>
              <w:sz w:val="21"/>
              <w:szCs w:val="22"/>
            </w:rPr>
          </w:pPr>
          <w:r>
            <w:rPr>
              <w:rFonts w:hint="eastAsia" w:ascii="黑体" w:hAnsi="黑体" w:eastAsia="黑体" w:cs="黑体"/>
            </w:rPr>
            <w:fldChar w:fldCharType="begin"/>
          </w:r>
          <w:r>
            <w:rPr>
              <w:rFonts w:hint="eastAsia" w:ascii="黑体" w:hAnsi="黑体" w:eastAsia="黑体" w:cs="黑体"/>
            </w:rPr>
            <w:instrText xml:space="preserve"> HYPERLINK \l "_Toc85809988" </w:instrText>
          </w:r>
          <w:r>
            <w:rPr>
              <w:rFonts w:hint="eastAsia" w:ascii="黑体" w:hAnsi="黑体" w:eastAsia="黑体" w:cs="黑体"/>
            </w:rPr>
            <w:fldChar w:fldCharType="separate"/>
          </w:r>
          <w:r>
            <w:rPr>
              <w:rStyle w:val="24"/>
              <w:rFonts w:hint="eastAsia" w:ascii="黑体" w:hAnsi="黑体" w:eastAsia="黑体" w:cs="黑体"/>
              <w:bCs/>
              <w:color w:val="auto"/>
            </w:rPr>
            <w:t>4.6</w:t>
          </w:r>
          <w:r>
            <w:rPr>
              <w:rFonts w:hint="eastAsia" w:ascii="黑体" w:hAnsi="黑体" w:eastAsia="黑体" w:cs="黑体"/>
              <w:smallCaps w:val="0"/>
              <w:sz w:val="21"/>
              <w:szCs w:val="22"/>
            </w:rPr>
            <w:tab/>
          </w:r>
          <w:r>
            <w:rPr>
              <w:rStyle w:val="24"/>
              <w:rFonts w:hint="eastAsia" w:ascii="黑体" w:hAnsi="黑体" w:eastAsia="黑体" w:cs="黑体"/>
              <w:color w:val="auto"/>
            </w:rPr>
            <w:t>电镀企业管理要求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_Toc85809988 \h </w:instrText>
          </w:r>
          <w:r>
            <w:rPr>
              <w:rFonts w:hint="eastAsia" w:ascii="黑体" w:hAnsi="黑体" w:eastAsia="黑体" w:cs="黑体"/>
            </w:rPr>
            <w:fldChar w:fldCharType="separate"/>
          </w:r>
          <w:r>
            <w:rPr>
              <w:rFonts w:hint="eastAsia" w:ascii="黑体" w:hAnsi="黑体" w:eastAsia="黑体" w:cs="黑体"/>
            </w:rPr>
            <w:t>17</w:t>
          </w:r>
          <w:r>
            <w:rPr>
              <w:rFonts w:hint="eastAsia" w:ascii="黑体" w:hAnsi="黑体" w:eastAsia="黑体" w:cs="黑体"/>
            </w:rPr>
            <w:fldChar w:fldCharType="end"/>
          </w:r>
          <w:r>
            <w:rPr>
              <w:rFonts w:hint="eastAsia" w:ascii="黑体" w:hAnsi="黑体" w:eastAsia="黑体" w:cs="黑体"/>
            </w:rPr>
            <w:fldChar w:fldCharType="end"/>
          </w:r>
        </w:p>
        <w:p>
          <w:pPr>
            <w:pStyle w:val="16"/>
            <w:tabs>
              <w:tab w:val="left" w:pos="840"/>
              <w:tab w:val="right" w:leader="dot" w:pos="9396"/>
            </w:tabs>
            <w:rPr>
              <w:rFonts w:hint="eastAsia" w:ascii="黑体" w:hAnsi="黑体" w:eastAsia="黑体" w:cs="黑体"/>
              <w:smallCaps w:val="0"/>
              <w:sz w:val="21"/>
              <w:szCs w:val="22"/>
            </w:rPr>
          </w:pPr>
          <w:r>
            <w:rPr>
              <w:rFonts w:hint="eastAsia" w:ascii="黑体" w:hAnsi="黑体" w:eastAsia="黑体" w:cs="黑体"/>
            </w:rPr>
            <w:fldChar w:fldCharType="begin"/>
          </w:r>
          <w:r>
            <w:rPr>
              <w:rFonts w:hint="eastAsia" w:ascii="黑体" w:hAnsi="黑体" w:eastAsia="黑体" w:cs="黑体"/>
            </w:rPr>
            <w:instrText xml:space="preserve"> HYPERLINK \l "_Toc85809989" </w:instrText>
          </w:r>
          <w:r>
            <w:rPr>
              <w:rFonts w:hint="eastAsia" w:ascii="黑体" w:hAnsi="黑体" w:eastAsia="黑体" w:cs="黑体"/>
            </w:rPr>
            <w:fldChar w:fldCharType="separate"/>
          </w:r>
          <w:r>
            <w:rPr>
              <w:rStyle w:val="24"/>
              <w:rFonts w:hint="eastAsia" w:ascii="黑体" w:hAnsi="黑体" w:eastAsia="黑体" w:cs="黑体"/>
              <w:bCs/>
              <w:color w:val="auto"/>
            </w:rPr>
            <w:t>4.7</w:t>
          </w:r>
          <w:r>
            <w:rPr>
              <w:rFonts w:hint="eastAsia" w:ascii="黑体" w:hAnsi="黑体" w:eastAsia="黑体" w:cs="黑体"/>
              <w:smallCaps w:val="0"/>
              <w:sz w:val="21"/>
              <w:szCs w:val="22"/>
            </w:rPr>
            <w:tab/>
          </w:r>
          <w:r>
            <w:rPr>
              <w:rStyle w:val="24"/>
              <w:rFonts w:hint="eastAsia" w:ascii="黑体" w:hAnsi="黑体" w:eastAsia="黑体" w:cs="黑体"/>
              <w:color w:val="auto"/>
            </w:rPr>
            <w:t>印染企业管理要求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_Toc85809989 \h </w:instrText>
          </w:r>
          <w:r>
            <w:rPr>
              <w:rFonts w:hint="eastAsia" w:ascii="黑体" w:hAnsi="黑体" w:eastAsia="黑体" w:cs="黑体"/>
            </w:rPr>
            <w:fldChar w:fldCharType="separate"/>
          </w:r>
          <w:r>
            <w:rPr>
              <w:rFonts w:hint="eastAsia" w:ascii="黑体" w:hAnsi="黑体" w:eastAsia="黑体" w:cs="黑体"/>
            </w:rPr>
            <w:t>21</w:t>
          </w:r>
          <w:r>
            <w:rPr>
              <w:rFonts w:hint="eastAsia" w:ascii="黑体" w:hAnsi="黑体" w:eastAsia="黑体" w:cs="黑体"/>
            </w:rPr>
            <w:fldChar w:fldCharType="end"/>
          </w:r>
          <w:r>
            <w:rPr>
              <w:rFonts w:hint="eastAsia" w:ascii="黑体" w:hAnsi="黑体" w:eastAsia="黑体" w:cs="黑体"/>
            </w:rPr>
            <w:fldChar w:fldCharType="end"/>
          </w:r>
        </w:p>
        <w:p>
          <w:pPr>
            <w:pStyle w:val="16"/>
            <w:tabs>
              <w:tab w:val="left" w:pos="840"/>
              <w:tab w:val="right" w:leader="dot" w:pos="9396"/>
            </w:tabs>
            <w:rPr>
              <w:rFonts w:hint="eastAsia" w:ascii="黑体" w:hAnsi="黑体" w:eastAsia="黑体" w:cs="黑体"/>
              <w:smallCaps w:val="0"/>
              <w:sz w:val="21"/>
              <w:szCs w:val="22"/>
            </w:rPr>
          </w:pPr>
          <w:r>
            <w:rPr>
              <w:rFonts w:hint="eastAsia" w:ascii="黑体" w:hAnsi="黑体" w:eastAsia="黑体" w:cs="黑体"/>
            </w:rPr>
            <w:fldChar w:fldCharType="begin"/>
          </w:r>
          <w:r>
            <w:rPr>
              <w:rFonts w:hint="eastAsia" w:ascii="黑体" w:hAnsi="黑体" w:eastAsia="黑体" w:cs="黑体"/>
            </w:rPr>
            <w:instrText xml:space="preserve"> HYPERLINK \l "_Toc85809990" </w:instrText>
          </w:r>
          <w:r>
            <w:rPr>
              <w:rFonts w:hint="eastAsia" w:ascii="黑体" w:hAnsi="黑体" w:eastAsia="黑体" w:cs="黑体"/>
            </w:rPr>
            <w:fldChar w:fldCharType="separate"/>
          </w:r>
          <w:r>
            <w:rPr>
              <w:rStyle w:val="24"/>
              <w:rFonts w:hint="eastAsia" w:ascii="黑体" w:hAnsi="黑体" w:eastAsia="黑体" w:cs="黑体"/>
              <w:bCs/>
              <w:color w:val="auto"/>
            </w:rPr>
            <w:t>4.8</w:t>
          </w:r>
          <w:r>
            <w:rPr>
              <w:rFonts w:hint="eastAsia" w:ascii="黑体" w:hAnsi="黑体" w:eastAsia="黑体" w:cs="黑体"/>
              <w:smallCaps w:val="0"/>
              <w:sz w:val="21"/>
              <w:szCs w:val="22"/>
            </w:rPr>
            <w:tab/>
          </w:r>
          <w:r>
            <w:rPr>
              <w:rStyle w:val="24"/>
              <w:rFonts w:hint="eastAsia" w:ascii="黑体" w:hAnsi="黑体" w:eastAsia="黑体" w:cs="黑体"/>
              <w:color w:val="auto"/>
            </w:rPr>
            <w:t>涂布（涂层）企业管理要求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_Toc85809990 \h </w:instrText>
          </w:r>
          <w:r>
            <w:rPr>
              <w:rFonts w:hint="eastAsia" w:ascii="黑体" w:hAnsi="黑体" w:eastAsia="黑体" w:cs="黑体"/>
            </w:rPr>
            <w:fldChar w:fldCharType="separate"/>
          </w:r>
          <w:r>
            <w:rPr>
              <w:rFonts w:hint="eastAsia" w:ascii="黑体" w:hAnsi="黑体" w:eastAsia="黑体" w:cs="黑体"/>
            </w:rPr>
            <w:t>22</w:t>
          </w:r>
          <w:r>
            <w:rPr>
              <w:rFonts w:hint="eastAsia" w:ascii="黑体" w:hAnsi="黑体" w:eastAsia="黑体" w:cs="黑体"/>
            </w:rPr>
            <w:fldChar w:fldCharType="end"/>
          </w:r>
          <w:r>
            <w:rPr>
              <w:rFonts w:hint="eastAsia" w:ascii="黑体" w:hAnsi="黑体" w:eastAsia="黑体" w:cs="黑体"/>
            </w:rPr>
            <w:fldChar w:fldCharType="end"/>
          </w:r>
        </w:p>
        <w:p>
          <w:pPr>
            <w:pStyle w:val="16"/>
            <w:tabs>
              <w:tab w:val="left" w:pos="840"/>
              <w:tab w:val="right" w:leader="dot" w:pos="9396"/>
            </w:tabs>
            <w:rPr>
              <w:rFonts w:hint="eastAsia" w:ascii="黑体" w:hAnsi="黑体" w:eastAsia="黑体" w:cs="黑体"/>
              <w:smallCaps w:val="0"/>
              <w:sz w:val="21"/>
              <w:szCs w:val="22"/>
            </w:rPr>
          </w:pPr>
          <w:r>
            <w:rPr>
              <w:rFonts w:hint="eastAsia" w:ascii="黑体" w:hAnsi="黑体" w:eastAsia="黑体" w:cs="黑体"/>
            </w:rPr>
            <w:fldChar w:fldCharType="begin"/>
          </w:r>
          <w:r>
            <w:rPr>
              <w:rFonts w:hint="eastAsia" w:ascii="黑体" w:hAnsi="黑体" w:eastAsia="黑体" w:cs="黑体"/>
            </w:rPr>
            <w:instrText xml:space="preserve"> HYPERLINK \l "_Toc85809991" </w:instrText>
          </w:r>
          <w:r>
            <w:rPr>
              <w:rFonts w:hint="eastAsia" w:ascii="黑体" w:hAnsi="黑体" w:eastAsia="黑体" w:cs="黑体"/>
            </w:rPr>
            <w:fldChar w:fldCharType="separate"/>
          </w:r>
          <w:r>
            <w:rPr>
              <w:rStyle w:val="24"/>
              <w:rFonts w:hint="eastAsia" w:ascii="黑体" w:hAnsi="黑体" w:eastAsia="黑体" w:cs="黑体"/>
              <w:bCs/>
              <w:color w:val="auto"/>
            </w:rPr>
            <w:t>4.9</w:t>
          </w:r>
          <w:r>
            <w:rPr>
              <w:rFonts w:hint="eastAsia" w:ascii="黑体" w:hAnsi="黑体" w:eastAsia="黑体" w:cs="黑体"/>
              <w:smallCaps w:val="0"/>
              <w:sz w:val="21"/>
              <w:szCs w:val="22"/>
            </w:rPr>
            <w:tab/>
          </w:r>
          <w:r>
            <w:rPr>
              <w:rStyle w:val="24"/>
              <w:rFonts w:hint="eastAsia" w:ascii="黑体" w:hAnsi="黑体" w:eastAsia="黑体" w:cs="黑体"/>
              <w:color w:val="auto"/>
            </w:rPr>
            <w:t>真空镀膜（化学气相沉积法）企业管理要求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_Toc85809991 \h </w:instrText>
          </w:r>
          <w:r>
            <w:rPr>
              <w:rFonts w:hint="eastAsia" w:ascii="黑体" w:hAnsi="黑体" w:eastAsia="黑体" w:cs="黑体"/>
            </w:rPr>
            <w:fldChar w:fldCharType="separate"/>
          </w:r>
          <w:r>
            <w:rPr>
              <w:rFonts w:hint="eastAsia" w:ascii="黑体" w:hAnsi="黑体" w:eastAsia="黑体" w:cs="黑体"/>
            </w:rPr>
            <w:t>23</w:t>
          </w:r>
          <w:r>
            <w:rPr>
              <w:rFonts w:hint="eastAsia" w:ascii="黑体" w:hAnsi="黑体" w:eastAsia="黑体" w:cs="黑体"/>
            </w:rPr>
            <w:fldChar w:fldCharType="end"/>
          </w:r>
          <w:r>
            <w:rPr>
              <w:rFonts w:hint="eastAsia" w:ascii="黑体" w:hAnsi="黑体" w:eastAsia="黑体" w:cs="黑体"/>
            </w:rPr>
            <w:fldChar w:fldCharType="end"/>
          </w:r>
        </w:p>
        <w:p>
          <w:pPr>
            <w:pStyle w:val="16"/>
            <w:tabs>
              <w:tab w:val="left" w:pos="1050"/>
              <w:tab w:val="right" w:leader="dot" w:pos="9396"/>
            </w:tabs>
            <w:rPr>
              <w:rFonts w:hint="eastAsia" w:ascii="黑体" w:hAnsi="黑体" w:eastAsia="黑体" w:cs="黑体"/>
              <w:smallCaps w:val="0"/>
              <w:sz w:val="21"/>
              <w:szCs w:val="22"/>
            </w:rPr>
          </w:pPr>
          <w:r>
            <w:rPr>
              <w:rFonts w:hint="eastAsia" w:ascii="黑体" w:hAnsi="黑体" w:eastAsia="黑体" w:cs="黑体"/>
            </w:rPr>
            <w:fldChar w:fldCharType="begin"/>
          </w:r>
          <w:r>
            <w:rPr>
              <w:rFonts w:hint="eastAsia" w:ascii="黑体" w:hAnsi="黑体" w:eastAsia="黑体" w:cs="黑体"/>
            </w:rPr>
            <w:instrText xml:space="preserve"> HYPERLINK \l "_Toc85809992" </w:instrText>
          </w:r>
          <w:r>
            <w:rPr>
              <w:rFonts w:hint="eastAsia" w:ascii="黑体" w:hAnsi="黑体" w:eastAsia="黑体" w:cs="黑体"/>
            </w:rPr>
            <w:fldChar w:fldCharType="separate"/>
          </w:r>
          <w:r>
            <w:rPr>
              <w:rStyle w:val="24"/>
              <w:rFonts w:hint="eastAsia" w:ascii="黑体" w:hAnsi="黑体" w:eastAsia="黑体" w:cs="黑体"/>
              <w:bCs/>
              <w:color w:val="auto"/>
            </w:rPr>
            <w:t>4.10</w:t>
          </w:r>
          <w:r>
            <w:rPr>
              <w:rFonts w:hint="eastAsia" w:ascii="黑体" w:hAnsi="黑体" w:eastAsia="黑体" w:cs="黑体"/>
              <w:smallCaps w:val="0"/>
              <w:sz w:val="21"/>
              <w:szCs w:val="22"/>
            </w:rPr>
            <w:tab/>
          </w:r>
          <w:r>
            <w:rPr>
              <w:rStyle w:val="24"/>
              <w:rFonts w:hint="eastAsia" w:ascii="黑体" w:hAnsi="黑体" w:eastAsia="黑体" w:cs="黑体"/>
              <w:color w:val="auto"/>
            </w:rPr>
            <w:t>发泡企业管理要求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_Toc85809992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rPr>
            <w:fldChar w:fldCharType="end"/>
          </w:r>
        </w:p>
        <w:p>
          <w:pPr>
            <w:pStyle w:val="16"/>
            <w:tabs>
              <w:tab w:val="left" w:pos="1050"/>
              <w:tab w:val="right" w:leader="dot" w:pos="9396"/>
            </w:tabs>
            <w:rPr>
              <w:rFonts w:hint="eastAsia" w:ascii="黑体" w:hAnsi="黑体" w:eastAsia="黑体" w:cs="黑体"/>
              <w:smallCaps w:val="0"/>
              <w:sz w:val="21"/>
              <w:szCs w:val="22"/>
            </w:rPr>
          </w:pPr>
          <w:r>
            <w:rPr>
              <w:rFonts w:hint="eastAsia" w:ascii="黑体" w:hAnsi="黑体" w:eastAsia="黑体" w:cs="黑体"/>
            </w:rPr>
            <w:fldChar w:fldCharType="begin"/>
          </w:r>
          <w:r>
            <w:rPr>
              <w:rFonts w:hint="eastAsia" w:ascii="黑体" w:hAnsi="黑体" w:eastAsia="黑体" w:cs="黑体"/>
            </w:rPr>
            <w:instrText xml:space="preserve"> HYPERLINK \l "_Toc85809993" </w:instrText>
          </w:r>
          <w:r>
            <w:rPr>
              <w:rFonts w:hint="eastAsia" w:ascii="黑体" w:hAnsi="黑体" w:eastAsia="黑体" w:cs="黑体"/>
            </w:rPr>
            <w:fldChar w:fldCharType="separate"/>
          </w:r>
          <w:r>
            <w:rPr>
              <w:rStyle w:val="24"/>
              <w:rFonts w:hint="eastAsia" w:ascii="黑体" w:hAnsi="黑体" w:eastAsia="黑体" w:cs="黑体"/>
              <w:bCs/>
              <w:color w:val="auto"/>
            </w:rPr>
            <w:t>4.11</w:t>
          </w:r>
          <w:r>
            <w:rPr>
              <w:rFonts w:hint="eastAsia" w:ascii="黑体" w:hAnsi="黑体" w:eastAsia="黑体" w:cs="黑体"/>
              <w:smallCaps w:val="0"/>
              <w:sz w:val="21"/>
              <w:szCs w:val="22"/>
            </w:rPr>
            <w:tab/>
          </w:r>
          <w:r>
            <w:rPr>
              <w:rStyle w:val="24"/>
              <w:rFonts w:hint="eastAsia" w:ascii="黑体" w:hAnsi="黑体" w:eastAsia="黑体" w:cs="黑体"/>
              <w:color w:val="auto"/>
            </w:rPr>
            <w:t>环氧乙烷灭菌企业管理要求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_Toc85809993 \h </w:instrText>
          </w:r>
          <w:r>
            <w:rPr>
              <w:rFonts w:hint="eastAsia" w:ascii="黑体" w:hAnsi="黑体" w:eastAsia="黑体" w:cs="黑体"/>
            </w:rPr>
            <w:fldChar w:fldCharType="separate"/>
          </w:r>
          <w:r>
            <w:rPr>
              <w:rFonts w:hint="eastAsia" w:ascii="黑体" w:hAnsi="黑体" w:eastAsia="黑体" w:cs="黑体"/>
            </w:rPr>
            <w:t>27</w:t>
          </w:r>
          <w:r>
            <w:rPr>
              <w:rFonts w:hint="eastAsia" w:ascii="黑体" w:hAnsi="黑体" w:eastAsia="黑体" w:cs="黑体"/>
            </w:rPr>
            <w:fldChar w:fldCharType="end"/>
          </w:r>
          <w:r>
            <w:rPr>
              <w:rFonts w:hint="eastAsia" w:ascii="黑体" w:hAnsi="黑体" w:eastAsia="黑体" w:cs="黑体"/>
            </w:rPr>
            <w:fldChar w:fldCharType="end"/>
          </w:r>
        </w:p>
        <w:p>
          <w:pPr>
            <w:pStyle w:val="16"/>
            <w:tabs>
              <w:tab w:val="left" w:pos="1050"/>
              <w:tab w:val="right" w:leader="dot" w:pos="9396"/>
            </w:tabs>
            <w:rPr>
              <w:rFonts w:cstheme="minorBidi"/>
              <w:smallCaps w:val="0"/>
              <w:sz w:val="21"/>
              <w:szCs w:val="22"/>
            </w:rPr>
          </w:pPr>
          <w:r>
            <w:rPr>
              <w:rFonts w:hint="eastAsia" w:ascii="黑体" w:hAnsi="黑体" w:eastAsia="黑体" w:cs="黑体"/>
            </w:rPr>
            <w:fldChar w:fldCharType="begin"/>
          </w:r>
          <w:r>
            <w:rPr>
              <w:rFonts w:hint="eastAsia" w:ascii="黑体" w:hAnsi="黑体" w:eastAsia="黑体" w:cs="黑体"/>
            </w:rPr>
            <w:instrText xml:space="preserve"> HYPERLINK \l "_Toc85809994" </w:instrText>
          </w:r>
          <w:r>
            <w:rPr>
              <w:rFonts w:hint="eastAsia" w:ascii="黑体" w:hAnsi="黑体" w:eastAsia="黑体" w:cs="黑体"/>
            </w:rPr>
            <w:fldChar w:fldCharType="separate"/>
          </w:r>
          <w:r>
            <w:rPr>
              <w:rStyle w:val="24"/>
              <w:rFonts w:hint="eastAsia" w:ascii="黑体" w:hAnsi="黑体" w:eastAsia="黑体" w:cs="黑体"/>
              <w:bCs/>
              <w:color w:val="auto"/>
            </w:rPr>
            <w:t>4.12</w:t>
          </w:r>
          <w:r>
            <w:rPr>
              <w:rFonts w:hint="eastAsia" w:ascii="黑体" w:hAnsi="黑体" w:eastAsia="黑体" w:cs="黑体"/>
              <w:smallCaps w:val="0"/>
              <w:sz w:val="21"/>
              <w:szCs w:val="22"/>
            </w:rPr>
            <w:tab/>
          </w:r>
          <w:r>
            <w:rPr>
              <w:rStyle w:val="24"/>
              <w:rFonts w:hint="eastAsia" w:ascii="黑体" w:hAnsi="黑体" w:eastAsia="黑体" w:cs="黑体"/>
              <w:color w:val="auto"/>
            </w:rPr>
            <w:t>使用钢瓶装气体进行焊接、切割等作业的企业管理要求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_Toc85809994 \h </w:instrText>
          </w:r>
          <w:r>
            <w:rPr>
              <w:rFonts w:hint="eastAsia" w:ascii="黑体" w:hAnsi="黑体" w:eastAsia="黑体" w:cs="黑体"/>
            </w:rPr>
            <w:fldChar w:fldCharType="separate"/>
          </w:r>
          <w:r>
            <w:rPr>
              <w:rFonts w:hint="eastAsia" w:ascii="黑体" w:hAnsi="黑体" w:eastAsia="黑体" w:cs="黑体"/>
            </w:rPr>
            <w:t>29</w:t>
          </w:r>
          <w:r>
            <w:rPr>
              <w:rFonts w:hint="eastAsia" w:ascii="黑体" w:hAnsi="黑体" w:eastAsia="黑体" w:cs="黑体"/>
            </w:rPr>
            <w:fldChar w:fldCharType="end"/>
          </w:r>
          <w:r>
            <w:rPr>
              <w:rFonts w:hint="eastAsia" w:ascii="黑体" w:hAnsi="黑体" w:eastAsia="黑体" w:cs="黑体"/>
            </w:rPr>
            <w:fldChar w:fldCharType="end"/>
          </w:r>
        </w:p>
        <w:p>
          <w:pPr>
            <w:pStyle w:val="16"/>
            <w:tabs>
              <w:tab w:val="right" w:leader="dot" w:pos="8296"/>
            </w:tabs>
            <w:spacing w:line="440" w:lineRule="exact"/>
            <w:ind w:left="0"/>
            <w:rPr>
              <w:rFonts w:ascii="Times New Roman" w:hAnsi="Times New Roman" w:cs="Times New Roman"/>
              <w:b/>
              <w:bCs/>
              <w:sz w:val="24"/>
              <w:szCs w:val="24"/>
              <w:lang w:val="zh-CN"/>
            </w:rPr>
          </w:pPr>
          <w:r>
            <w:rPr>
              <w:rFonts w:ascii="Times New Roman" w:hAnsi="Times New Roman" w:cs="Times New Roman"/>
              <w:bCs/>
              <w:sz w:val="24"/>
              <w:szCs w:val="24"/>
            </w:rPr>
            <w:fldChar w:fldCharType="end"/>
          </w:r>
        </w:p>
      </w:sdtContent>
    </w:sdt>
    <w:p>
      <w:pPr>
        <w:numPr>
          <w:ilvl w:val="0"/>
          <w:numId w:val="1"/>
        </w:numPr>
        <w:snapToGrid w:val="0"/>
        <w:spacing w:before="187" w:after="187"/>
        <w:ind w:left="425" w:hanging="425"/>
        <w:outlineLvl w:val="0"/>
        <w:rPr>
          <w:rFonts w:ascii="黑体" w:hAnsi="黑体" w:eastAsia="黑体"/>
          <w:sz w:val="28"/>
          <w:szCs w:val="28"/>
        </w:rPr>
        <w:sectPr>
          <w:footerReference r:id="rId5" w:type="default"/>
          <w:pgSz w:w="12240" w:h="15840"/>
          <w:pgMar w:top="1417" w:right="1417" w:bottom="1417" w:left="1417" w:header="851" w:footer="992" w:gutter="0"/>
          <w:pgNumType w:fmt="decimal" w:start="1"/>
          <w:cols w:space="425" w:num="1"/>
          <w:docGrid w:type="lines" w:linePitch="312" w:charSpace="0"/>
        </w:sectPr>
      </w:pPr>
    </w:p>
    <w:p>
      <w:pPr>
        <w:keepNext/>
        <w:numPr>
          <w:ilvl w:val="0"/>
          <w:numId w:val="1"/>
        </w:numPr>
        <w:snapToGrid w:val="0"/>
        <w:spacing w:before="187" w:after="187"/>
        <w:ind w:left="425" w:hanging="425"/>
        <w:outlineLvl w:val="0"/>
        <w:rPr>
          <w:rFonts w:ascii="黑体" w:hAnsi="黑体" w:eastAsia="黑体"/>
          <w:sz w:val="28"/>
          <w:szCs w:val="28"/>
        </w:rPr>
      </w:pPr>
      <w:bookmarkStart w:id="0" w:name="_Toc85809970"/>
      <w:r>
        <w:rPr>
          <w:rFonts w:ascii="黑体" w:hAnsi="黑体" w:eastAsia="黑体"/>
          <w:sz w:val="28"/>
          <w:szCs w:val="28"/>
        </w:rPr>
        <w:t>适用范围</w:t>
      </w:r>
      <w:bookmarkEnd w:id="0"/>
    </w:p>
    <w:p>
      <w:pPr>
        <w:snapToGrid w:val="0"/>
        <w:spacing w:line="360" w:lineRule="auto"/>
        <w:ind w:firstLine="560" w:firstLineChars="200"/>
        <w:rPr>
          <w:rFonts w:ascii="宋体" w:hAnsi="宋体" w:eastAsia="宋体"/>
          <w:sz w:val="28"/>
          <w:szCs w:val="28"/>
        </w:rPr>
      </w:pPr>
      <w:r>
        <w:rPr>
          <w:rFonts w:ascii="宋体" w:hAnsi="宋体" w:eastAsia="宋体"/>
          <w:sz w:val="28"/>
          <w:szCs w:val="28"/>
        </w:rPr>
        <w:t>本指南主要适用于《苏州市矿山、冶金等工矿企业危险化学品使用安全专项治理行动实施方案》内的工矿企业。</w:t>
      </w:r>
    </w:p>
    <w:p>
      <w:pPr>
        <w:snapToGrid w:val="0"/>
        <w:spacing w:line="360" w:lineRule="auto"/>
        <w:ind w:firstLine="560" w:firstLineChars="200"/>
        <w:rPr>
          <w:rFonts w:ascii="宋体" w:hAnsi="宋体" w:eastAsia="宋体"/>
          <w:sz w:val="28"/>
          <w:szCs w:val="28"/>
        </w:rPr>
      </w:pPr>
      <w:r>
        <w:rPr>
          <w:rFonts w:ascii="宋体" w:hAnsi="宋体" w:eastAsia="宋体"/>
          <w:sz w:val="28"/>
          <w:szCs w:val="28"/>
        </w:rPr>
        <w:t>矿山、冶金等工矿企业：具体指《应急管理部办公厅关于修订&lt;冶金有色建材机械轻工纺织烟草商贸行业安全监管分类标准（试行）&gt;的通知（应急厅〔2019〕17号）》中所涉及的冶金、有色、建材、机械、轻工、纺织、烟草等</w:t>
      </w:r>
      <w:r>
        <w:rPr>
          <w:rFonts w:hint="eastAsia" w:ascii="宋体" w:hAnsi="宋体" w:eastAsia="宋体"/>
          <w:sz w:val="28"/>
          <w:szCs w:val="28"/>
          <w:lang w:val="en-US" w:eastAsia="zh-CN"/>
        </w:rPr>
        <w:t>七</w:t>
      </w:r>
      <w:r>
        <w:rPr>
          <w:rFonts w:ascii="宋体" w:hAnsi="宋体" w:eastAsia="宋体"/>
          <w:sz w:val="28"/>
          <w:szCs w:val="28"/>
        </w:rPr>
        <w:t>个行业</w:t>
      </w:r>
      <w:r>
        <w:rPr>
          <w:rFonts w:hint="eastAsia" w:ascii="宋体" w:hAnsi="宋体" w:eastAsia="宋体"/>
          <w:sz w:val="28"/>
          <w:szCs w:val="28"/>
          <w:lang w:val="en-US" w:eastAsia="zh-CN"/>
        </w:rPr>
        <w:t>和</w:t>
      </w:r>
      <w:r>
        <w:rPr>
          <w:rFonts w:ascii="宋体" w:hAnsi="宋体" w:eastAsia="宋体"/>
          <w:sz w:val="28"/>
          <w:szCs w:val="28"/>
        </w:rPr>
        <w:t>矿山</w:t>
      </w:r>
      <w:r>
        <w:rPr>
          <w:rFonts w:hint="eastAsia" w:ascii="宋体" w:hAnsi="宋体" w:eastAsia="宋体"/>
          <w:sz w:val="28"/>
          <w:szCs w:val="28"/>
          <w:lang w:val="en-US" w:eastAsia="zh-CN"/>
        </w:rPr>
        <w:t>企业</w:t>
      </w:r>
      <w:r>
        <w:rPr>
          <w:rFonts w:ascii="宋体" w:hAnsi="宋体" w:eastAsia="宋体"/>
          <w:sz w:val="28"/>
          <w:szCs w:val="28"/>
        </w:rPr>
        <w:t>。</w:t>
      </w:r>
    </w:p>
    <w:p>
      <w:pPr>
        <w:keepNext/>
        <w:numPr>
          <w:ilvl w:val="0"/>
          <w:numId w:val="1"/>
        </w:numPr>
        <w:snapToGrid w:val="0"/>
        <w:spacing w:before="187" w:after="187"/>
        <w:ind w:left="425" w:hanging="425"/>
        <w:outlineLvl w:val="0"/>
        <w:rPr>
          <w:rFonts w:ascii="黑体" w:hAnsi="黑体" w:eastAsia="黑体"/>
          <w:sz w:val="28"/>
          <w:szCs w:val="28"/>
        </w:rPr>
      </w:pPr>
      <w:bookmarkStart w:id="1" w:name="_Toc85809971"/>
      <w:r>
        <w:rPr>
          <w:rFonts w:ascii="黑体" w:hAnsi="黑体" w:eastAsia="黑体"/>
          <w:sz w:val="28"/>
          <w:szCs w:val="28"/>
        </w:rPr>
        <w:t>规范性引用文件</w:t>
      </w:r>
      <w:bookmarkEnd w:id="1"/>
    </w:p>
    <w:p>
      <w:pPr>
        <w:snapToGrid w:val="0"/>
        <w:spacing w:line="360" w:lineRule="auto"/>
        <w:ind w:firstLine="560" w:firstLineChars="200"/>
        <w:rPr>
          <w:rFonts w:ascii="宋体" w:hAnsi="宋体" w:eastAsia="宋体"/>
          <w:sz w:val="28"/>
          <w:szCs w:val="28"/>
        </w:rPr>
      </w:pPr>
      <w:r>
        <w:rPr>
          <w:rFonts w:hint="eastAsia" w:ascii="宋体" w:hAnsi="宋体" w:eastAsia="宋体" w:cs="宋体"/>
          <w:sz w:val="28"/>
          <w:szCs w:val="28"/>
        </w:rPr>
        <w:t>凡是注日期的引用文件，仅注日期的版本适用于本文件。凡是不注日期的引用文件，其最新版本(包括所有的修改单)适用于本文件。</w:t>
      </w:r>
    </w:p>
    <w:p>
      <w:pPr>
        <w:keepNext/>
        <w:numPr>
          <w:ilvl w:val="0"/>
          <w:numId w:val="1"/>
        </w:numPr>
        <w:snapToGrid w:val="0"/>
        <w:spacing w:before="187" w:after="187"/>
        <w:ind w:left="425" w:hanging="425"/>
        <w:outlineLvl w:val="0"/>
        <w:rPr>
          <w:rFonts w:ascii="黑体" w:hAnsi="黑体" w:eastAsia="黑体"/>
          <w:sz w:val="28"/>
          <w:szCs w:val="28"/>
        </w:rPr>
      </w:pPr>
      <w:bookmarkStart w:id="2" w:name="_Toc85809972"/>
      <w:r>
        <w:rPr>
          <w:rFonts w:ascii="黑体" w:hAnsi="黑体" w:eastAsia="黑体"/>
          <w:sz w:val="28"/>
          <w:szCs w:val="28"/>
        </w:rPr>
        <w:t>危险化学品管理要求</w:t>
      </w:r>
      <w:bookmarkEnd w:id="2"/>
    </w:p>
    <w:p>
      <w:pPr>
        <w:keepNext/>
        <w:numPr>
          <w:ilvl w:val="1"/>
          <w:numId w:val="1"/>
        </w:numPr>
        <w:snapToGrid w:val="0"/>
        <w:spacing w:before="187" w:after="187"/>
        <w:ind w:left="993" w:hanging="352"/>
        <w:outlineLvl w:val="1"/>
        <w:rPr>
          <w:rFonts w:ascii="黑体" w:hAnsi="黑体" w:eastAsia="黑体"/>
          <w:sz w:val="28"/>
          <w:szCs w:val="28"/>
        </w:rPr>
      </w:pPr>
      <w:bookmarkStart w:id="3" w:name="_Toc85809973"/>
      <w:r>
        <w:rPr>
          <w:rFonts w:hint="eastAsia" w:ascii="黑体" w:hAnsi="黑体" w:eastAsia="黑体"/>
          <w:sz w:val="28"/>
          <w:szCs w:val="28"/>
        </w:rPr>
        <w:t>危险化学品</w:t>
      </w:r>
      <w:r>
        <w:rPr>
          <w:rFonts w:ascii="黑体" w:hAnsi="黑体" w:eastAsia="黑体"/>
          <w:sz w:val="28"/>
          <w:szCs w:val="28"/>
        </w:rPr>
        <w:t>通用要求</w:t>
      </w:r>
      <w:bookmarkEnd w:id="3"/>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重点监管危险化学品采取的应急处置措施应符合国家安全监管总局办公厅《关于印发首批重点监管的危险化学品安全措施和应急处置原则的通知》（安监总管三〔2011〕142号）和国家安全监管总局《关于公布第二批重点监管危险化学品名录的通知》（安监总管三〔2013〕12号）相关重点监管危险化学品的应急处置原则。</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特别管控危险化学品的管控措施应符合应急管理部 工业和信息化部 公安部 交通运输部公告（2020年 第1号）《特别管控危险化学品目录（第一版）》的管控措施要求。</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危险化学品使用和储存场所应符合《建筑设计防火规范》等相应规范标准的要求。</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危险化学品储存场所应安装建筑避雷装置、通风设施，根据物料使用和存放特性，设置防火、防爆、防静电、防腐、防毒、防渗漏等措施。</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危险化学品储存和作业场所应根据物料性质设置现场带声光的可燃/有毒气体检测报警仪，并与轴流排风装置联锁，可燃/有毒气体检测报警仪应定期检定。</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可燃或有毒的单组分气体泄漏浓度可能达到报警设定值的，应对应设置可燃气体或有毒气体探测器，其中可燃有毒的单组分气体应设有毒气体探测器；可燃气体与有毒气体同时存在的多组分混合气体，泄漏时可燃气体浓度和有毒气体浓度有可能同时达到报警设定值的，应分别设置可燃气体探测器和有毒气体探测器。</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可能突然泄漏大量有毒物品或者易造成急性中毒的作业场所，应设置自动报警装置和事故通风设施。通风设施的设计应至少满足《工业建筑供暖通风与空气调节设计规范》的要求。对可能突然放散大量有毒气体有爆炸危险气体的场所,应根据工艺设计要求设置事故通风系统。事故通风量宜根据工艺设计条件通过计算确定，且换气次数不应小于12次/h。</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爆炸危险区域的划分应按释放源级别和通风条件确定,存在连续级释放源的区域可划为0区，存在一级释放源的区域可划为1区，存在二级释放源的区域可划为2区,并应根据通风条件调整区域划分。爆炸性环境内电气设备保护级别的选择应符合下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311"/>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9" w:hRule="atLeast"/>
          <w:jc w:val="center"/>
        </w:trPr>
        <w:tc>
          <w:tcPr>
            <w:tcW w:w="2311" w:type="dxa"/>
            <w:tcBorders>
              <w:top w:val="single" w:color="000000" w:sz="8" w:space="0"/>
              <w:left w:val="single" w:color="000000" w:sz="8" w:space="0"/>
              <w:bottom w:val="single" w:color="000000" w:sz="8" w:space="0"/>
              <w:right w:val="single" w:color="000000" w:sz="8" w:space="0"/>
            </w:tcBorders>
            <w:vAlign w:val="center"/>
          </w:tcPr>
          <w:p>
            <w:pPr>
              <w:snapToGrid w:val="0"/>
              <w:spacing w:line="400" w:lineRule="exact"/>
              <w:jc w:val="center"/>
              <w:rPr>
                <w:rFonts w:ascii="黑体" w:hAnsi="黑体" w:eastAsia="黑体" w:cs="黑体"/>
                <w:sz w:val="28"/>
                <w:szCs w:val="28"/>
              </w:rPr>
            </w:pPr>
            <w:r>
              <w:rPr>
                <w:rFonts w:hint="eastAsia" w:ascii="黑体" w:hAnsi="黑体" w:eastAsia="黑体" w:cs="黑体"/>
                <w:sz w:val="28"/>
                <w:szCs w:val="28"/>
              </w:rPr>
              <w:t>危险区域</w:t>
            </w:r>
          </w:p>
        </w:tc>
        <w:tc>
          <w:tcPr>
            <w:tcW w:w="4019" w:type="dxa"/>
            <w:tcBorders>
              <w:top w:val="single" w:color="000000" w:sz="8" w:space="0"/>
              <w:left w:val="single" w:color="000000" w:sz="8" w:space="0"/>
              <w:bottom w:val="single" w:color="000000" w:sz="8" w:space="0"/>
              <w:right w:val="single" w:color="000000" w:sz="8" w:space="0"/>
            </w:tcBorders>
            <w:vAlign w:val="center"/>
          </w:tcPr>
          <w:p>
            <w:pPr>
              <w:snapToGrid w:val="0"/>
              <w:spacing w:line="400" w:lineRule="exact"/>
              <w:jc w:val="center"/>
              <w:rPr>
                <w:rFonts w:ascii="黑体" w:hAnsi="黑体" w:eastAsia="黑体" w:cs="黑体"/>
                <w:sz w:val="28"/>
                <w:szCs w:val="28"/>
              </w:rPr>
            </w:pPr>
            <w:r>
              <w:rPr>
                <w:rFonts w:hint="eastAsia" w:ascii="黑体" w:hAnsi="黑体" w:eastAsia="黑体" w:cs="黑体"/>
                <w:sz w:val="28"/>
                <w:szCs w:val="28"/>
              </w:rPr>
              <w:t>设备保护级别（EPL）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09" w:hRule="atLeast"/>
          <w:jc w:val="center"/>
        </w:trPr>
        <w:tc>
          <w:tcPr>
            <w:tcW w:w="2311" w:type="dxa"/>
            <w:tcBorders>
              <w:top w:val="single" w:color="000000" w:sz="8" w:space="0"/>
              <w:left w:val="single" w:color="000000" w:sz="8" w:space="0"/>
              <w:bottom w:val="single" w:color="000000" w:sz="8" w:space="0"/>
              <w:right w:val="single" w:color="000000" w:sz="8" w:space="0"/>
            </w:tcBorders>
            <w:vAlign w:val="center"/>
          </w:tcPr>
          <w:p>
            <w:pPr>
              <w:snapToGrid w:val="0"/>
              <w:spacing w:line="400" w:lineRule="exact"/>
              <w:jc w:val="center"/>
              <w:rPr>
                <w:rFonts w:ascii="宋体" w:hAnsi="宋体" w:eastAsia="宋体" w:cs="宋体"/>
                <w:sz w:val="28"/>
                <w:szCs w:val="28"/>
              </w:rPr>
            </w:pPr>
            <w:r>
              <w:rPr>
                <w:rFonts w:hint="eastAsia" w:ascii="宋体" w:hAnsi="宋体" w:eastAsia="宋体" w:cs="宋体"/>
                <w:sz w:val="28"/>
                <w:szCs w:val="28"/>
              </w:rPr>
              <w:t>0区</w:t>
            </w:r>
          </w:p>
        </w:tc>
        <w:tc>
          <w:tcPr>
            <w:tcW w:w="4019" w:type="dxa"/>
            <w:tcBorders>
              <w:top w:val="single" w:color="000000" w:sz="8" w:space="0"/>
              <w:left w:val="single" w:color="000000" w:sz="8" w:space="0"/>
              <w:bottom w:val="single" w:color="000000" w:sz="8" w:space="0"/>
              <w:right w:val="single" w:color="000000" w:sz="8" w:space="0"/>
            </w:tcBorders>
            <w:vAlign w:val="center"/>
          </w:tcPr>
          <w:p>
            <w:pPr>
              <w:snapToGrid w:val="0"/>
              <w:spacing w:line="400" w:lineRule="exact"/>
              <w:jc w:val="center"/>
              <w:rPr>
                <w:rFonts w:ascii="宋体" w:hAnsi="宋体" w:eastAsia="宋体" w:cs="宋体"/>
                <w:sz w:val="28"/>
                <w:szCs w:val="28"/>
              </w:rPr>
            </w:pPr>
            <w:r>
              <w:rPr>
                <w:rFonts w:hint="eastAsia" w:ascii="宋体" w:hAnsi="宋体" w:eastAsia="宋体" w:cs="宋体"/>
                <w:sz w:val="28"/>
                <w:szCs w:val="28"/>
              </w:rPr>
              <w:t>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jc w:val="center"/>
        </w:trPr>
        <w:tc>
          <w:tcPr>
            <w:tcW w:w="2311" w:type="dxa"/>
            <w:tcBorders>
              <w:top w:val="single" w:color="000000" w:sz="8" w:space="0"/>
              <w:left w:val="single" w:color="000000" w:sz="8" w:space="0"/>
              <w:bottom w:val="single" w:color="000000" w:sz="8" w:space="0"/>
              <w:right w:val="single" w:color="000000" w:sz="8" w:space="0"/>
            </w:tcBorders>
            <w:vAlign w:val="center"/>
          </w:tcPr>
          <w:p>
            <w:pPr>
              <w:snapToGrid w:val="0"/>
              <w:spacing w:line="400" w:lineRule="exact"/>
              <w:jc w:val="center"/>
              <w:rPr>
                <w:rFonts w:ascii="宋体" w:hAnsi="宋体" w:eastAsia="宋体" w:cs="宋体"/>
                <w:sz w:val="28"/>
                <w:szCs w:val="28"/>
              </w:rPr>
            </w:pPr>
            <w:r>
              <w:rPr>
                <w:rFonts w:hint="eastAsia" w:ascii="宋体" w:hAnsi="宋体" w:eastAsia="宋体" w:cs="宋体"/>
                <w:sz w:val="28"/>
                <w:szCs w:val="28"/>
              </w:rPr>
              <w:t>1区</w:t>
            </w:r>
          </w:p>
        </w:tc>
        <w:tc>
          <w:tcPr>
            <w:tcW w:w="4019" w:type="dxa"/>
            <w:tcBorders>
              <w:top w:val="single" w:color="000000" w:sz="8" w:space="0"/>
              <w:left w:val="single" w:color="000000" w:sz="8" w:space="0"/>
              <w:bottom w:val="single" w:color="000000" w:sz="8" w:space="0"/>
              <w:right w:val="single" w:color="000000" w:sz="8" w:space="0"/>
            </w:tcBorders>
            <w:vAlign w:val="center"/>
          </w:tcPr>
          <w:p>
            <w:pPr>
              <w:snapToGrid w:val="0"/>
              <w:spacing w:line="400" w:lineRule="exact"/>
              <w:jc w:val="center"/>
              <w:rPr>
                <w:rFonts w:ascii="宋体" w:hAnsi="宋体" w:eastAsia="宋体" w:cs="宋体"/>
                <w:sz w:val="28"/>
                <w:szCs w:val="28"/>
              </w:rPr>
            </w:pPr>
            <w:r>
              <w:rPr>
                <w:rFonts w:hint="eastAsia" w:ascii="宋体" w:hAnsi="宋体" w:eastAsia="宋体" w:cs="宋体"/>
                <w:sz w:val="28"/>
                <w:szCs w:val="28"/>
              </w:rPr>
              <w:t>Ga或Gb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15" w:hRule="atLeast"/>
          <w:jc w:val="center"/>
        </w:trPr>
        <w:tc>
          <w:tcPr>
            <w:tcW w:w="2311" w:type="dxa"/>
            <w:tcBorders>
              <w:top w:val="single" w:color="000000" w:sz="8" w:space="0"/>
              <w:left w:val="single" w:color="000000" w:sz="8" w:space="0"/>
              <w:bottom w:val="single" w:color="000000" w:sz="8" w:space="0"/>
              <w:right w:val="single" w:color="000000" w:sz="8" w:space="0"/>
            </w:tcBorders>
            <w:vAlign w:val="center"/>
          </w:tcPr>
          <w:p>
            <w:pPr>
              <w:snapToGrid w:val="0"/>
              <w:spacing w:line="400" w:lineRule="exact"/>
              <w:jc w:val="center"/>
              <w:rPr>
                <w:rFonts w:ascii="宋体" w:hAnsi="宋体" w:eastAsia="宋体" w:cs="宋体"/>
                <w:sz w:val="28"/>
                <w:szCs w:val="28"/>
              </w:rPr>
            </w:pPr>
            <w:r>
              <w:rPr>
                <w:rFonts w:hint="eastAsia" w:ascii="宋体" w:hAnsi="宋体" w:eastAsia="宋体" w:cs="宋体"/>
                <w:sz w:val="28"/>
                <w:szCs w:val="28"/>
              </w:rPr>
              <w:t>2区</w:t>
            </w:r>
          </w:p>
        </w:tc>
        <w:tc>
          <w:tcPr>
            <w:tcW w:w="4019" w:type="dxa"/>
            <w:tcBorders>
              <w:top w:val="single" w:color="000000" w:sz="8" w:space="0"/>
              <w:left w:val="single" w:color="000000" w:sz="8" w:space="0"/>
              <w:bottom w:val="single" w:color="000000" w:sz="8" w:space="0"/>
              <w:right w:val="single" w:color="000000" w:sz="8" w:space="0"/>
            </w:tcBorders>
            <w:vAlign w:val="center"/>
          </w:tcPr>
          <w:p>
            <w:pPr>
              <w:snapToGrid w:val="0"/>
              <w:spacing w:line="400" w:lineRule="exact"/>
              <w:jc w:val="center"/>
              <w:rPr>
                <w:rFonts w:ascii="宋体" w:hAnsi="宋体" w:eastAsia="宋体" w:cs="宋体"/>
                <w:sz w:val="28"/>
                <w:szCs w:val="28"/>
              </w:rPr>
            </w:pPr>
            <w:r>
              <w:rPr>
                <w:rFonts w:hint="eastAsia" w:ascii="宋体" w:hAnsi="宋体" w:eastAsia="宋体" w:cs="宋体"/>
                <w:sz w:val="28"/>
                <w:szCs w:val="28"/>
              </w:rPr>
              <w:t>Ga、Gb或Gc</w:t>
            </w:r>
          </w:p>
        </w:tc>
      </w:tr>
    </w:tbl>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气瓶安全附件应齐全、完好，定期检测合格，助燃气体和可燃气体气瓶不能混存，空瓶与满瓶分开储存，空瓶内气体应留有足够的余压。</w:t>
      </w:r>
      <w:r>
        <w:rPr>
          <w:rFonts w:ascii="宋体" w:hAnsi="宋体" w:eastAsia="宋体" w:cs="宋体"/>
          <w:sz w:val="28"/>
          <w:szCs w:val="28"/>
        </w:rPr>
        <w:t>钢瓶应直立储存，扣上钢瓶帽，并采取防倾倒措施。</w:t>
      </w:r>
      <w:r>
        <w:rPr>
          <w:rFonts w:hint="eastAsia" w:ascii="宋体" w:hAnsi="宋体" w:eastAsia="宋体" w:cs="宋体"/>
          <w:sz w:val="28"/>
          <w:szCs w:val="28"/>
        </w:rPr>
        <w:t>气瓶严禁横卧、加热、抛甩、滚翻、野蛮装卸等。</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汇流排间与生产车间毗连设置，毗连的墙应为无门、窗、洞的防火墙；乙炔汇流排间可与氧气汇流排间布置在耐火等级不低于二级的同一座建筑物内，但应以无门、窗、洞的防火墙隔开，每个汇流排设独立的安全出口，门应向外平开。</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储存易燃易爆介质的储罐，应配备高、低液位报警回路，必要时还应配有液位与相关工艺参数之间的联锁系统。</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对于储存易燃易爆介质的有压储罐，应设置压力检测仪表。若罐内介质属于《石油化工企业设计防火标准》中的甲类物料，还应配压力报警系统，必要时宜设报警联锁系统。</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易燃、易爆、</w:t>
      </w:r>
      <w:r>
        <w:rPr>
          <w:rFonts w:ascii="宋体" w:hAnsi="宋体" w:eastAsia="宋体" w:cs="宋体"/>
          <w:sz w:val="28"/>
          <w:szCs w:val="28"/>
        </w:rPr>
        <w:t>有毒和产生刺激性气体的危险化学品储罐区应在</w:t>
      </w:r>
      <w:r>
        <w:rPr>
          <w:rFonts w:hint="eastAsia" w:ascii="宋体" w:hAnsi="宋体" w:eastAsia="宋体" w:cs="宋体"/>
          <w:sz w:val="28"/>
          <w:szCs w:val="28"/>
        </w:rPr>
        <w:t>厂区</w:t>
      </w:r>
      <w:r>
        <w:rPr>
          <w:rFonts w:ascii="宋体" w:hAnsi="宋体" w:eastAsia="宋体" w:cs="宋体"/>
          <w:sz w:val="28"/>
          <w:szCs w:val="28"/>
        </w:rPr>
        <w:t>显著位置设置风向标</w:t>
      </w:r>
      <w:r>
        <w:rPr>
          <w:rFonts w:hint="eastAsia" w:ascii="宋体" w:hAnsi="宋体" w:eastAsia="宋体" w:cs="宋体"/>
          <w:sz w:val="28"/>
          <w:szCs w:val="28"/>
        </w:rPr>
        <w:t>。</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危险化学品储存应符合《常用化学危险品贮存通则》、《仓储场所消防安全管理通则》等的要求。</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作业现场危险化学品存放量不得超过当班使用量。</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用于危险化学品使用的设备、设施，应符合相关规范的要求，其工艺应确保安全性。</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危险化学品使用和储存场所应设置安全警示标志、安全周知卡和应急处置卡。作业场所应按要求放置安全操作规程。</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危险化学品作业场所员工作业时应穿戴相应的劳动防护用品（防护眼镜、防毒面具、防静电服、防腐服等）。</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严禁一切火种和火源进入有火灾风险的危险区域，如：吸烟和穿戴能产生静电的服装和有铁钉的鞋子，以及使用喷灯、电焊、气割、电动工具；使用铁制工具和能碰撞产生火花的物品，使用高频设备和电磁场很强的设备；使用手机、对讲机等通讯工具；使用摇表测量绝缘电阻和接地电阻等。</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企业应当制定本单位危险化学品事故专项应急预案（或现场处置方案），配备应急救援人员和必要的应急救援器材、设备，并定期组织应急预案演练。</w:t>
      </w:r>
    </w:p>
    <w:p>
      <w:pPr>
        <w:keepNext/>
        <w:numPr>
          <w:ilvl w:val="1"/>
          <w:numId w:val="1"/>
        </w:numPr>
        <w:snapToGrid w:val="0"/>
        <w:spacing w:before="187" w:after="187"/>
        <w:ind w:left="993" w:hanging="352"/>
        <w:outlineLvl w:val="1"/>
        <w:rPr>
          <w:rFonts w:ascii="黑体" w:hAnsi="黑体" w:eastAsia="黑体"/>
          <w:sz w:val="28"/>
          <w:szCs w:val="28"/>
        </w:rPr>
      </w:pPr>
      <w:bookmarkStart w:id="4" w:name="_Toc85809974"/>
      <w:r>
        <w:rPr>
          <w:rFonts w:ascii="黑体" w:hAnsi="黑体" w:eastAsia="黑体"/>
          <w:sz w:val="28"/>
          <w:szCs w:val="28"/>
        </w:rPr>
        <w:t>燃爆性危险化学品</w:t>
      </w:r>
      <w:r>
        <w:rPr>
          <w:rFonts w:hint="eastAsia" w:ascii="黑体" w:hAnsi="黑体" w:eastAsia="黑体"/>
          <w:sz w:val="28"/>
          <w:szCs w:val="28"/>
        </w:rPr>
        <w:t>一般</w:t>
      </w:r>
      <w:r>
        <w:rPr>
          <w:rFonts w:ascii="黑体" w:hAnsi="黑体" w:eastAsia="黑体"/>
          <w:sz w:val="28"/>
          <w:szCs w:val="28"/>
        </w:rPr>
        <w:t>要求</w:t>
      </w:r>
      <w:bookmarkEnd w:id="4"/>
    </w:p>
    <w:p>
      <w:pPr>
        <w:numPr>
          <w:ilvl w:val="2"/>
          <w:numId w:val="1"/>
        </w:numPr>
        <w:snapToGrid w:val="0"/>
        <w:spacing w:line="360" w:lineRule="auto"/>
        <w:ind w:left="829" w:hanging="199"/>
        <w:outlineLvl w:val="2"/>
        <w:rPr>
          <w:rFonts w:ascii="黑体" w:hAnsi="黑体" w:eastAsia="黑体"/>
          <w:sz w:val="28"/>
          <w:szCs w:val="28"/>
        </w:rPr>
      </w:pPr>
      <w:bookmarkStart w:id="5" w:name="_Toc85809975"/>
      <w:r>
        <w:rPr>
          <w:rFonts w:ascii="黑体" w:hAnsi="黑体" w:eastAsia="黑体"/>
          <w:sz w:val="28"/>
          <w:szCs w:val="28"/>
        </w:rPr>
        <w:t>保险粉、电石等固体类有燃爆风险的危险化学品使用储存要求</w:t>
      </w:r>
      <w:bookmarkEnd w:id="5"/>
    </w:p>
    <w:p>
      <w:pPr>
        <w:numPr>
          <w:ilvl w:val="3"/>
          <w:numId w:val="1"/>
        </w:numPr>
        <w:snapToGrid w:val="0"/>
        <w:spacing w:line="360" w:lineRule="auto"/>
        <w:ind w:left="15" w:leftChars="7" w:firstLine="621" w:firstLineChars="222"/>
        <w:rPr>
          <w:rFonts w:ascii="宋体" w:hAnsi="宋体" w:eastAsia="宋体" w:cs="宋体"/>
          <w:sz w:val="28"/>
          <w:szCs w:val="28"/>
        </w:rPr>
      </w:pPr>
      <w:r>
        <w:rPr>
          <w:rFonts w:hint="eastAsia" w:ascii="宋体" w:hAnsi="宋体" w:eastAsia="宋体" w:cs="宋体"/>
          <w:sz w:val="28"/>
          <w:szCs w:val="28"/>
        </w:rPr>
        <w:t>保险粉等固体类危险化学品应设专库或库内专柜储存。储存场所在通风装置等电气应防爆，还应设置防潮堆垫、防浸渍、降温等设施，必要时用氮气保护。储存场所的门窗洞口应设置防止雨水进入的措施。</w:t>
      </w:r>
    </w:p>
    <w:p>
      <w:pPr>
        <w:numPr>
          <w:ilvl w:val="3"/>
          <w:numId w:val="1"/>
        </w:numPr>
        <w:snapToGrid w:val="0"/>
        <w:spacing w:line="360" w:lineRule="auto"/>
        <w:ind w:left="15" w:leftChars="7" w:firstLine="621" w:firstLineChars="222"/>
        <w:rPr>
          <w:rFonts w:ascii="宋体" w:hAnsi="宋体" w:eastAsia="宋体" w:cs="宋体"/>
          <w:sz w:val="28"/>
          <w:szCs w:val="28"/>
        </w:rPr>
      </w:pPr>
      <w:r>
        <w:rPr>
          <w:rFonts w:hint="eastAsia" w:ascii="宋体" w:hAnsi="宋体" w:eastAsia="宋体" w:cs="宋体"/>
          <w:sz w:val="28"/>
          <w:szCs w:val="28"/>
        </w:rPr>
        <w:t>储存和使用场所可根据危险化学品特性安装可燃气体检测仪，特殊情况的还需增设有毒气体检测仪。</w:t>
      </w:r>
    </w:p>
    <w:p>
      <w:pPr>
        <w:numPr>
          <w:ilvl w:val="3"/>
          <w:numId w:val="1"/>
        </w:numPr>
        <w:snapToGrid w:val="0"/>
        <w:spacing w:line="360" w:lineRule="auto"/>
        <w:ind w:left="15" w:leftChars="7" w:firstLine="621" w:firstLineChars="222"/>
        <w:rPr>
          <w:rFonts w:ascii="宋体" w:hAnsi="宋体" w:eastAsia="宋体" w:cs="宋体"/>
          <w:sz w:val="28"/>
          <w:szCs w:val="28"/>
        </w:rPr>
      </w:pPr>
      <w:r>
        <w:rPr>
          <w:rFonts w:hint="eastAsia" w:ascii="宋体" w:hAnsi="宋体" w:eastAsia="宋体" w:cs="宋体"/>
          <w:sz w:val="28"/>
          <w:szCs w:val="28"/>
        </w:rPr>
        <w:t>储存场所内应设温湿度计并每日记录。梅雨季节等湿度较大的时段，宜加强防潮除湿措施。</w:t>
      </w:r>
    </w:p>
    <w:p>
      <w:pPr>
        <w:numPr>
          <w:ilvl w:val="3"/>
          <w:numId w:val="1"/>
        </w:numPr>
        <w:snapToGrid w:val="0"/>
        <w:spacing w:line="360" w:lineRule="auto"/>
        <w:ind w:left="15" w:leftChars="7" w:firstLine="621" w:firstLineChars="222"/>
        <w:rPr>
          <w:rFonts w:ascii="宋体" w:hAnsi="宋体" w:eastAsia="宋体" w:cs="宋体"/>
          <w:sz w:val="28"/>
          <w:szCs w:val="28"/>
        </w:rPr>
      </w:pPr>
      <w:r>
        <w:rPr>
          <w:rFonts w:hint="eastAsia" w:ascii="宋体" w:hAnsi="宋体" w:eastAsia="宋体" w:cs="宋体"/>
          <w:sz w:val="28"/>
          <w:szCs w:val="28"/>
        </w:rPr>
        <w:t>保险粉宜采用密闭桶装包装。储存过程中，最外层包装应选择使用金属制造的包装物（容器）。</w:t>
      </w:r>
    </w:p>
    <w:p>
      <w:pPr>
        <w:numPr>
          <w:ilvl w:val="3"/>
          <w:numId w:val="1"/>
        </w:numPr>
        <w:snapToGrid w:val="0"/>
        <w:spacing w:line="360" w:lineRule="auto"/>
        <w:ind w:left="15" w:leftChars="7" w:firstLine="621" w:firstLineChars="222"/>
        <w:rPr>
          <w:rFonts w:ascii="宋体" w:hAnsi="宋体" w:eastAsia="宋体" w:cs="宋体"/>
          <w:sz w:val="28"/>
          <w:szCs w:val="28"/>
        </w:rPr>
      </w:pPr>
      <w:r>
        <w:rPr>
          <w:rFonts w:hint="eastAsia" w:ascii="宋体" w:hAnsi="宋体" w:eastAsia="宋体" w:cs="宋体"/>
          <w:sz w:val="28"/>
          <w:szCs w:val="28"/>
        </w:rPr>
        <w:t>保险粉禁止与高锰酸钾等强氧化剂、酸类、易燃品混放；电石禁止与水、醇类、酸类物品混放。</w:t>
      </w:r>
    </w:p>
    <w:p>
      <w:pPr>
        <w:numPr>
          <w:ilvl w:val="3"/>
          <w:numId w:val="1"/>
        </w:numPr>
        <w:snapToGrid w:val="0"/>
        <w:spacing w:line="360" w:lineRule="auto"/>
        <w:ind w:left="15" w:leftChars="7" w:firstLine="621" w:firstLineChars="222"/>
        <w:rPr>
          <w:rFonts w:ascii="宋体" w:hAnsi="宋体" w:eastAsia="宋体" w:cs="宋体"/>
          <w:sz w:val="28"/>
          <w:szCs w:val="28"/>
        </w:rPr>
      </w:pPr>
      <w:r>
        <w:rPr>
          <w:rFonts w:hint="eastAsia" w:ascii="宋体" w:hAnsi="宋体" w:eastAsia="宋体" w:cs="宋体"/>
          <w:sz w:val="28"/>
          <w:szCs w:val="28"/>
        </w:rPr>
        <w:t>保险粉使用后的外包装不得直接加压、切割、焊接、钻孔，或者接触热源、火花、火焰、静电等引燃源，避免发生火灾、爆炸。</w:t>
      </w:r>
    </w:p>
    <w:p>
      <w:pPr>
        <w:numPr>
          <w:ilvl w:val="3"/>
          <w:numId w:val="1"/>
        </w:numPr>
        <w:snapToGrid w:val="0"/>
        <w:spacing w:line="360" w:lineRule="auto"/>
        <w:ind w:left="15" w:leftChars="7" w:firstLine="621" w:firstLineChars="222"/>
        <w:rPr>
          <w:rFonts w:ascii="宋体" w:hAnsi="宋体" w:eastAsia="宋体" w:cs="宋体"/>
          <w:sz w:val="28"/>
          <w:szCs w:val="28"/>
        </w:rPr>
      </w:pPr>
      <w:r>
        <w:rPr>
          <w:rFonts w:hint="eastAsia" w:ascii="宋体" w:hAnsi="宋体" w:eastAsia="宋体" w:cs="宋体"/>
          <w:sz w:val="28"/>
          <w:szCs w:val="28"/>
        </w:rPr>
        <w:t>发生火情时使用干粉、二氧化碳灭火剂或砂土等合宜的方式灭火，禁止用水灭火。</w:t>
      </w:r>
    </w:p>
    <w:p>
      <w:pPr>
        <w:numPr>
          <w:ilvl w:val="2"/>
          <w:numId w:val="1"/>
        </w:numPr>
        <w:snapToGrid w:val="0"/>
        <w:spacing w:line="360" w:lineRule="auto"/>
        <w:ind w:left="829" w:hanging="199"/>
        <w:outlineLvl w:val="2"/>
        <w:rPr>
          <w:rFonts w:ascii="黑体" w:hAnsi="黑体" w:eastAsia="黑体"/>
          <w:sz w:val="28"/>
          <w:szCs w:val="28"/>
        </w:rPr>
      </w:pPr>
      <w:bookmarkStart w:id="6" w:name="_Toc85809976"/>
      <w:r>
        <w:rPr>
          <w:rFonts w:ascii="黑体" w:hAnsi="黑体" w:eastAsia="黑体"/>
          <w:sz w:val="28"/>
          <w:szCs w:val="28"/>
        </w:rPr>
        <w:t>乙醇、乙酸乙酯、丙酮、甲醇、甲苯等易燃液体类危险化学品使用储存要求</w:t>
      </w:r>
      <w:bookmarkEnd w:id="6"/>
    </w:p>
    <w:p>
      <w:pPr>
        <w:numPr>
          <w:ilvl w:val="3"/>
          <w:numId w:val="1"/>
        </w:numPr>
        <w:snapToGrid w:val="0"/>
        <w:spacing w:line="360" w:lineRule="auto"/>
        <w:ind w:left="15" w:leftChars="7" w:firstLine="621" w:firstLineChars="222"/>
        <w:rPr>
          <w:rFonts w:ascii="宋体" w:hAnsi="宋体" w:eastAsia="宋体" w:cs="宋体"/>
          <w:sz w:val="28"/>
          <w:szCs w:val="28"/>
        </w:rPr>
      </w:pPr>
      <w:r>
        <w:rPr>
          <w:rFonts w:hint="eastAsia" w:ascii="宋体" w:hAnsi="宋体" w:eastAsia="宋体" w:cs="宋体"/>
          <w:sz w:val="28"/>
          <w:szCs w:val="28"/>
        </w:rPr>
        <w:t>作业和储存场所使用的电气、照明均应防爆外，配电箱及开关应设置在储存场所外。</w:t>
      </w:r>
    </w:p>
    <w:p>
      <w:pPr>
        <w:numPr>
          <w:ilvl w:val="3"/>
          <w:numId w:val="1"/>
        </w:numPr>
        <w:snapToGrid w:val="0"/>
        <w:spacing w:line="360" w:lineRule="auto"/>
        <w:ind w:left="15" w:leftChars="7" w:firstLine="621" w:firstLineChars="222"/>
        <w:rPr>
          <w:rFonts w:ascii="宋体" w:hAnsi="宋体" w:eastAsia="宋体" w:cs="宋体"/>
          <w:sz w:val="28"/>
          <w:szCs w:val="28"/>
        </w:rPr>
      </w:pPr>
      <w:r>
        <w:rPr>
          <w:rFonts w:hint="eastAsia" w:ascii="宋体" w:hAnsi="宋体" w:eastAsia="宋体" w:cs="宋体"/>
          <w:sz w:val="28"/>
          <w:szCs w:val="28"/>
        </w:rPr>
        <w:t>作业和储存场所应有可靠的静电接地，储存场所入口外侧应设置人体静电释放装置，必要情况下进入危险区域人员需采取穿戴静电服、静电手环等有效静电消除措施。</w:t>
      </w:r>
    </w:p>
    <w:p>
      <w:pPr>
        <w:numPr>
          <w:ilvl w:val="3"/>
          <w:numId w:val="1"/>
        </w:numPr>
        <w:snapToGrid w:val="0"/>
        <w:spacing w:line="360" w:lineRule="auto"/>
        <w:ind w:left="15" w:leftChars="7" w:firstLine="621" w:firstLineChars="222"/>
        <w:rPr>
          <w:rFonts w:ascii="宋体" w:hAnsi="宋体" w:eastAsia="宋体" w:cs="宋体"/>
          <w:sz w:val="28"/>
          <w:szCs w:val="28"/>
        </w:rPr>
      </w:pPr>
      <w:r>
        <w:rPr>
          <w:rFonts w:hint="eastAsia" w:ascii="宋体" w:hAnsi="宋体" w:eastAsia="宋体" w:cs="宋体"/>
          <w:sz w:val="28"/>
          <w:szCs w:val="28"/>
        </w:rPr>
        <w:t>危险区域内宜采用有色（铜、铝等金属）、木质等工具。禁止使用塑料油抽。</w:t>
      </w:r>
    </w:p>
    <w:p>
      <w:pPr>
        <w:numPr>
          <w:ilvl w:val="3"/>
          <w:numId w:val="1"/>
        </w:numPr>
        <w:snapToGrid w:val="0"/>
        <w:spacing w:line="360" w:lineRule="auto"/>
        <w:ind w:left="15" w:leftChars="7" w:firstLine="621" w:firstLineChars="222"/>
        <w:rPr>
          <w:rFonts w:ascii="宋体" w:hAnsi="宋体" w:eastAsia="宋体" w:cs="宋体"/>
          <w:sz w:val="28"/>
          <w:szCs w:val="28"/>
        </w:rPr>
      </w:pPr>
      <w:r>
        <w:rPr>
          <w:rFonts w:hint="eastAsia" w:ascii="宋体" w:hAnsi="宋体" w:eastAsia="宋体" w:cs="宋体"/>
          <w:sz w:val="28"/>
          <w:szCs w:val="28"/>
        </w:rPr>
        <w:t>储存场所有良好的隔热、降温、通风措施，库内设置温湿度计宜每日记录。</w:t>
      </w:r>
    </w:p>
    <w:p>
      <w:pPr>
        <w:numPr>
          <w:ilvl w:val="3"/>
          <w:numId w:val="1"/>
        </w:numPr>
        <w:snapToGrid w:val="0"/>
        <w:spacing w:line="360" w:lineRule="auto"/>
        <w:ind w:left="15" w:leftChars="7" w:firstLine="621" w:firstLineChars="222"/>
        <w:rPr>
          <w:rFonts w:ascii="宋体" w:hAnsi="宋体" w:eastAsia="宋体" w:cs="宋体"/>
          <w:sz w:val="28"/>
          <w:szCs w:val="28"/>
        </w:rPr>
      </w:pPr>
      <w:r>
        <w:rPr>
          <w:rFonts w:hint="eastAsia" w:ascii="宋体" w:hAnsi="宋体" w:eastAsia="宋体" w:cs="宋体"/>
          <w:sz w:val="28"/>
          <w:szCs w:val="28"/>
        </w:rPr>
        <w:t>在储存场所设置防止液体流散的门槛或围堰等防流散措施，可设置视频监控或液体泄漏监测装置来提高防控大规模泄漏的处置能力。</w:t>
      </w:r>
    </w:p>
    <w:p>
      <w:pPr>
        <w:numPr>
          <w:ilvl w:val="3"/>
          <w:numId w:val="1"/>
        </w:numPr>
        <w:snapToGrid w:val="0"/>
        <w:spacing w:line="360" w:lineRule="auto"/>
        <w:ind w:left="15" w:leftChars="7" w:firstLine="621" w:firstLineChars="222"/>
        <w:rPr>
          <w:rFonts w:ascii="宋体" w:hAnsi="宋体" w:eastAsia="宋体" w:cs="宋体"/>
          <w:sz w:val="28"/>
          <w:szCs w:val="28"/>
        </w:rPr>
      </w:pPr>
      <w:r>
        <w:rPr>
          <w:rFonts w:hint="eastAsia" w:ascii="宋体" w:hAnsi="宋体" w:eastAsia="宋体" w:cs="宋体"/>
          <w:sz w:val="28"/>
          <w:szCs w:val="28"/>
        </w:rPr>
        <w:t>储存易燃易爆液体储罐必须配置液位检测仪表，同一储罐至少配备两种不同类别的液位检测仪表。</w:t>
      </w:r>
    </w:p>
    <w:p>
      <w:pPr>
        <w:numPr>
          <w:ilvl w:val="2"/>
          <w:numId w:val="1"/>
        </w:numPr>
        <w:snapToGrid w:val="0"/>
        <w:spacing w:line="360" w:lineRule="auto"/>
        <w:ind w:left="829" w:hanging="199"/>
        <w:outlineLvl w:val="2"/>
        <w:rPr>
          <w:rFonts w:ascii="黑体" w:hAnsi="黑体" w:eastAsia="黑体"/>
          <w:sz w:val="28"/>
          <w:szCs w:val="28"/>
        </w:rPr>
      </w:pPr>
      <w:bookmarkStart w:id="7" w:name="_Toc85809977"/>
      <w:r>
        <w:rPr>
          <w:rFonts w:ascii="黑体" w:hAnsi="黑体" w:eastAsia="黑体"/>
          <w:sz w:val="28"/>
          <w:szCs w:val="28"/>
        </w:rPr>
        <w:t>乙炔、天然气、氢气、液化石油气等易燃气体类危险化学品使用储存要求</w:t>
      </w:r>
      <w:bookmarkEnd w:id="7"/>
    </w:p>
    <w:p>
      <w:pPr>
        <w:numPr>
          <w:ilvl w:val="3"/>
          <w:numId w:val="1"/>
        </w:numPr>
        <w:snapToGrid w:val="0"/>
        <w:spacing w:line="360" w:lineRule="auto"/>
        <w:ind w:left="15" w:leftChars="7" w:firstLine="621" w:firstLineChars="222"/>
        <w:rPr>
          <w:rFonts w:ascii="宋体" w:hAnsi="宋体" w:eastAsia="宋体" w:cs="宋体"/>
          <w:sz w:val="28"/>
          <w:szCs w:val="28"/>
        </w:rPr>
      </w:pPr>
      <w:r>
        <w:rPr>
          <w:rFonts w:hint="eastAsia" w:ascii="宋体" w:hAnsi="宋体" w:eastAsia="宋体" w:cs="宋体"/>
          <w:sz w:val="28"/>
          <w:szCs w:val="28"/>
        </w:rPr>
        <w:t>乙炔、天然气、氢气、液化石油气等易燃气体的气体站，应严格执行《氢气站设计规范》、《城镇燃气设计规范》、《液化石油气供应工程设计规范》等规范要求。</w:t>
      </w:r>
    </w:p>
    <w:p>
      <w:pPr>
        <w:numPr>
          <w:ilvl w:val="3"/>
          <w:numId w:val="1"/>
        </w:numPr>
        <w:snapToGrid w:val="0"/>
        <w:spacing w:line="360" w:lineRule="auto"/>
        <w:ind w:left="15" w:leftChars="7" w:firstLine="621" w:firstLineChars="222"/>
        <w:rPr>
          <w:rFonts w:ascii="宋体" w:hAnsi="宋体" w:eastAsia="宋体" w:cs="宋体"/>
          <w:sz w:val="28"/>
          <w:szCs w:val="28"/>
        </w:rPr>
      </w:pPr>
      <w:r>
        <w:rPr>
          <w:rFonts w:hint="eastAsia" w:ascii="宋体" w:hAnsi="宋体" w:eastAsia="宋体" w:cs="宋体"/>
          <w:sz w:val="28"/>
          <w:szCs w:val="28"/>
        </w:rPr>
        <w:t>汇流排的设计、安装必须符合有关标准规程的要求。汇流排系统必须合理地设置回火保险器、气阀、逆止阀、减压器、滤清器、事故排放管等。</w:t>
      </w:r>
    </w:p>
    <w:p>
      <w:pPr>
        <w:numPr>
          <w:ilvl w:val="3"/>
          <w:numId w:val="1"/>
        </w:numPr>
        <w:snapToGrid w:val="0"/>
        <w:spacing w:line="360" w:lineRule="auto"/>
        <w:ind w:left="15" w:leftChars="7" w:firstLine="621" w:firstLineChars="222"/>
        <w:rPr>
          <w:rFonts w:ascii="宋体" w:hAnsi="宋体" w:eastAsia="宋体" w:cs="宋体"/>
          <w:sz w:val="28"/>
          <w:szCs w:val="28"/>
        </w:rPr>
      </w:pPr>
      <w:r>
        <w:rPr>
          <w:rFonts w:hint="eastAsia" w:ascii="宋体" w:hAnsi="宋体" w:eastAsia="宋体" w:cs="宋体"/>
          <w:sz w:val="28"/>
          <w:szCs w:val="28"/>
        </w:rPr>
        <w:t>汇流排连接金属软管应防腐耐压且不宜过长，汇流排按规定仅使用一种介质，采用无缝钢管，并设减压阀、止逆阀、安全阀。</w:t>
      </w:r>
    </w:p>
    <w:p>
      <w:pPr>
        <w:numPr>
          <w:ilvl w:val="3"/>
          <w:numId w:val="1"/>
        </w:numPr>
        <w:snapToGrid w:val="0"/>
        <w:spacing w:line="360" w:lineRule="auto"/>
        <w:ind w:left="15" w:leftChars="7" w:firstLine="621" w:firstLineChars="222"/>
        <w:rPr>
          <w:rFonts w:ascii="宋体" w:hAnsi="宋体" w:eastAsia="宋体" w:cs="宋体"/>
          <w:sz w:val="28"/>
          <w:szCs w:val="28"/>
        </w:rPr>
      </w:pPr>
      <w:r>
        <w:rPr>
          <w:rFonts w:hint="eastAsia" w:ascii="宋体" w:hAnsi="宋体" w:eastAsia="宋体" w:cs="宋体"/>
          <w:sz w:val="28"/>
          <w:szCs w:val="28"/>
        </w:rPr>
        <w:t>易燃易爆气体汇流排间应远离高温区和明火点，空气流量应能使可燃物质很快稀释到爆炸</w:t>
      </w:r>
      <w:r>
        <w:rPr>
          <w:rFonts w:ascii="宋体" w:hAnsi="宋体" w:eastAsia="宋体" w:cs="宋体"/>
          <w:sz w:val="28"/>
          <w:szCs w:val="28"/>
        </w:rPr>
        <w:t>下限值的25%</w:t>
      </w:r>
      <w:r>
        <w:rPr>
          <w:rFonts w:hint="eastAsia" w:ascii="宋体" w:hAnsi="宋体" w:eastAsia="宋体" w:cs="宋体"/>
          <w:sz w:val="28"/>
          <w:szCs w:val="28"/>
        </w:rPr>
        <w:t>以确保通风良好，电气装置应防爆，可燃气体报警装置应和机械排风装置联锁。</w:t>
      </w:r>
    </w:p>
    <w:p>
      <w:pPr>
        <w:numPr>
          <w:ilvl w:val="3"/>
          <w:numId w:val="1"/>
        </w:numPr>
        <w:snapToGrid w:val="0"/>
        <w:spacing w:line="360" w:lineRule="auto"/>
        <w:ind w:left="15" w:leftChars="7" w:firstLine="621" w:firstLineChars="222"/>
        <w:rPr>
          <w:rFonts w:ascii="宋体" w:hAnsi="宋体" w:eastAsia="宋体" w:cs="宋体"/>
          <w:sz w:val="28"/>
          <w:szCs w:val="28"/>
        </w:rPr>
      </w:pPr>
      <w:r>
        <w:rPr>
          <w:rFonts w:hint="eastAsia" w:ascii="宋体" w:hAnsi="宋体" w:eastAsia="宋体" w:cs="宋体"/>
          <w:sz w:val="28"/>
          <w:szCs w:val="28"/>
        </w:rPr>
        <w:t>天然气（煤气）加热炉燃烧器操作部位须设置可燃气体泄漏报警和联锁切断装置，燃烧系统要设置防突然熄火或点火失败的安全装置。</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距散发比空气重的可燃气体设备30m以内的管沟应采取防止可燃气体窜入和积聚的措施。</w:t>
      </w:r>
    </w:p>
    <w:p>
      <w:pPr>
        <w:numPr>
          <w:ilvl w:val="2"/>
          <w:numId w:val="1"/>
        </w:numPr>
        <w:snapToGrid w:val="0"/>
        <w:spacing w:line="360" w:lineRule="auto"/>
        <w:ind w:left="829" w:hanging="199"/>
        <w:outlineLvl w:val="2"/>
        <w:rPr>
          <w:rFonts w:ascii="黑体" w:hAnsi="黑体" w:eastAsia="黑体"/>
          <w:sz w:val="28"/>
          <w:szCs w:val="28"/>
        </w:rPr>
      </w:pPr>
      <w:bookmarkStart w:id="8" w:name="_Toc85809978"/>
      <w:r>
        <w:rPr>
          <w:rFonts w:ascii="黑体" w:hAnsi="黑体" w:eastAsia="黑体"/>
          <w:sz w:val="28"/>
          <w:szCs w:val="28"/>
        </w:rPr>
        <w:t>炸药等爆炸物类危险化学品使用储存要求</w:t>
      </w:r>
      <w:bookmarkEnd w:id="8"/>
    </w:p>
    <w:p>
      <w:pPr>
        <w:numPr>
          <w:ilvl w:val="3"/>
          <w:numId w:val="1"/>
        </w:numPr>
        <w:snapToGrid w:val="0"/>
        <w:spacing w:line="360" w:lineRule="auto"/>
        <w:ind w:left="15" w:leftChars="7" w:firstLine="621" w:firstLineChars="222"/>
        <w:rPr>
          <w:rFonts w:ascii="宋体" w:hAnsi="宋体" w:eastAsia="宋体" w:cs="宋体"/>
          <w:sz w:val="28"/>
          <w:szCs w:val="28"/>
        </w:rPr>
      </w:pPr>
      <w:r>
        <w:rPr>
          <w:rFonts w:hint="eastAsia" w:ascii="宋体" w:hAnsi="宋体" w:eastAsia="宋体" w:cs="宋体"/>
          <w:sz w:val="28"/>
          <w:szCs w:val="28"/>
        </w:rPr>
        <w:t>爆炸物品的使用和储存应满足《民用爆炸物品安全管理条例》的要求。</w:t>
      </w:r>
    </w:p>
    <w:p>
      <w:pPr>
        <w:numPr>
          <w:ilvl w:val="3"/>
          <w:numId w:val="1"/>
        </w:numPr>
        <w:snapToGrid w:val="0"/>
        <w:spacing w:line="360" w:lineRule="auto"/>
        <w:ind w:left="15" w:leftChars="7" w:firstLine="621" w:firstLineChars="222"/>
        <w:rPr>
          <w:rFonts w:ascii="宋体" w:hAnsi="宋体" w:eastAsia="宋体" w:cs="宋体"/>
          <w:sz w:val="28"/>
          <w:szCs w:val="28"/>
        </w:rPr>
      </w:pPr>
      <w:r>
        <w:rPr>
          <w:rFonts w:hint="eastAsia" w:ascii="宋体" w:hAnsi="宋体" w:eastAsia="宋体" w:cs="宋体"/>
          <w:sz w:val="28"/>
          <w:szCs w:val="28"/>
        </w:rPr>
        <w:t>爆炸物品应当储存在专用仓库内，并按照国家规定设置技术防范设施。</w:t>
      </w:r>
    </w:p>
    <w:p>
      <w:pPr>
        <w:numPr>
          <w:ilvl w:val="3"/>
          <w:numId w:val="1"/>
        </w:numPr>
        <w:snapToGrid w:val="0"/>
        <w:spacing w:line="360" w:lineRule="auto"/>
        <w:ind w:left="1256" w:leftChars="304" w:hanging="618" w:hangingChars="221"/>
        <w:rPr>
          <w:rFonts w:ascii="宋体" w:hAnsi="宋体" w:eastAsia="宋体" w:cs="宋体"/>
          <w:sz w:val="28"/>
          <w:szCs w:val="28"/>
        </w:rPr>
      </w:pPr>
      <w:r>
        <w:rPr>
          <w:rFonts w:hint="eastAsia" w:ascii="宋体" w:hAnsi="宋体" w:eastAsia="宋体" w:cs="宋体"/>
          <w:sz w:val="28"/>
          <w:szCs w:val="28"/>
        </w:rPr>
        <w:t>储存爆炸物品应当遵守下列规定：</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——建立出入库检查、登记制度，收存和发放民用爆炸物品必须进行登记，做到账目清楚，账物相符；</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——储存的民用爆炸物品数量不得超过储存设计容量，对性质相抵触的民用爆炸物品必须分库储存，严禁在库房内存放其他物品；</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——专用仓库应当指定专人管理、看护，严禁无关人员进入仓库区内，严禁在仓库区内吸烟和用火，严禁把其他容易引起燃烧、爆炸的物品带入仓库区内，严禁在库房内住宿和进行其他活动。</w:t>
      </w:r>
    </w:p>
    <w:p>
      <w:pPr>
        <w:numPr>
          <w:ilvl w:val="3"/>
          <w:numId w:val="1"/>
        </w:numPr>
        <w:snapToGrid w:val="0"/>
        <w:spacing w:line="360" w:lineRule="auto"/>
        <w:ind w:left="1256" w:leftChars="304" w:hanging="618" w:hangingChars="221"/>
        <w:rPr>
          <w:rFonts w:ascii="宋体" w:hAnsi="宋体" w:eastAsia="宋体" w:cs="宋体"/>
          <w:sz w:val="28"/>
          <w:szCs w:val="28"/>
        </w:rPr>
      </w:pPr>
      <w:r>
        <w:rPr>
          <w:rFonts w:hint="eastAsia" w:ascii="宋体" w:hAnsi="宋体" w:eastAsia="宋体" w:cs="宋体"/>
          <w:sz w:val="28"/>
          <w:szCs w:val="28"/>
        </w:rPr>
        <w:t>爆破作业场所有下列情形之一时，不应进行爆破作业：</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——距工作面20m以内的风流中瓦斯含量达到1%或有瓦斯突出征兆的；</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——爆破会造成巷道涌水、堤坝漏水、河床严重阻塞、泉水变迁的；</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——岩体有冒顶或边坡滑落危险的；</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——硐室、炮孔温度异常的；</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——地下爆破作业区的有害气体浓度超过规定的；</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——爆破可能危及建(构)筑物、公共设施或人员的安全而无有效防护措施的；</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——作业通道不安全或堵塞的；</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——支护规格与支护说明书的规定不符或工作面支护损坏的；</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——危险区边界未设警戒的；</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——光线不足且无照明或照明不符合规定的；</w:t>
      </w:r>
    </w:p>
    <w:p>
      <w:pPr>
        <w:snapToGrid w:val="0"/>
        <w:spacing w:line="360" w:lineRule="auto"/>
        <w:ind w:firstLine="560" w:firstLineChars="200"/>
        <w:rPr>
          <w:rFonts w:ascii="仿宋" w:hAnsi="仿宋" w:eastAsia="仿宋"/>
          <w:sz w:val="28"/>
          <w:szCs w:val="28"/>
        </w:rPr>
      </w:pPr>
      <w:r>
        <w:rPr>
          <w:rFonts w:hint="eastAsia" w:ascii="宋体" w:hAnsi="宋体" w:eastAsia="宋体" w:cs="宋体"/>
          <w:sz w:val="28"/>
          <w:szCs w:val="28"/>
        </w:rPr>
        <w:t>——未按《爆破安全规程》的要求作好准备工作的。</w:t>
      </w:r>
    </w:p>
    <w:p>
      <w:pPr>
        <w:keepNext/>
        <w:numPr>
          <w:ilvl w:val="1"/>
          <w:numId w:val="1"/>
        </w:numPr>
        <w:snapToGrid w:val="0"/>
        <w:spacing w:before="187" w:after="187"/>
        <w:ind w:left="993" w:hanging="352"/>
        <w:outlineLvl w:val="1"/>
        <w:rPr>
          <w:rFonts w:ascii="黑体" w:hAnsi="黑体" w:eastAsia="黑体"/>
          <w:sz w:val="28"/>
          <w:szCs w:val="28"/>
        </w:rPr>
      </w:pPr>
      <w:bookmarkStart w:id="9" w:name="_Toc85809979"/>
      <w:r>
        <w:rPr>
          <w:rFonts w:hint="eastAsia" w:ascii="黑体" w:hAnsi="黑体" w:eastAsia="黑体"/>
          <w:sz w:val="28"/>
          <w:szCs w:val="28"/>
        </w:rPr>
        <w:t>毒害性危险化学品一般要求</w:t>
      </w:r>
      <w:bookmarkEnd w:id="9"/>
    </w:p>
    <w:p>
      <w:pPr>
        <w:numPr>
          <w:ilvl w:val="2"/>
          <w:numId w:val="1"/>
        </w:numPr>
        <w:snapToGrid w:val="0"/>
        <w:spacing w:line="360" w:lineRule="auto"/>
        <w:ind w:left="829" w:hanging="199"/>
        <w:outlineLvl w:val="2"/>
        <w:rPr>
          <w:rFonts w:ascii="黑体" w:hAnsi="黑体" w:eastAsia="黑体"/>
          <w:sz w:val="28"/>
          <w:szCs w:val="28"/>
        </w:rPr>
      </w:pPr>
      <w:bookmarkStart w:id="10" w:name="_Toc85809980"/>
      <w:r>
        <w:rPr>
          <w:rFonts w:ascii="黑体" w:hAnsi="黑体" w:eastAsia="黑体"/>
          <w:sz w:val="28"/>
          <w:szCs w:val="28"/>
        </w:rPr>
        <w:t>氯气、氰化钾、氰化钠等剧毒类危险化学品使用储存要求</w:t>
      </w:r>
      <w:bookmarkEnd w:id="10"/>
    </w:p>
    <w:p>
      <w:pPr>
        <w:numPr>
          <w:ilvl w:val="3"/>
          <w:numId w:val="1"/>
        </w:numPr>
        <w:snapToGrid w:val="0"/>
        <w:spacing w:line="360" w:lineRule="auto"/>
        <w:ind w:left="15" w:leftChars="7" w:firstLine="621" w:firstLineChars="222"/>
        <w:rPr>
          <w:rFonts w:ascii="宋体" w:hAnsi="宋体" w:eastAsia="宋体" w:cs="宋体"/>
          <w:sz w:val="28"/>
          <w:szCs w:val="28"/>
        </w:rPr>
      </w:pPr>
      <w:r>
        <w:rPr>
          <w:rFonts w:hint="eastAsia" w:ascii="宋体" w:hAnsi="宋体" w:eastAsia="宋体" w:cs="宋体"/>
          <w:sz w:val="28"/>
          <w:szCs w:val="28"/>
        </w:rPr>
        <w:t>使用储存场所应按规定设置有毒气体报警仪。使用、储存氯气、氰化钠、氰化钾等剧毒品物质场所应设置监控装置。</w:t>
      </w:r>
    </w:p>
    <w:p>
      <w:pPr>
        <w:numPr>
          <w:ilvl w:val="3"/>
          <w:numId w:val="1"/>
        </w:numPr>
        <w:snapToGrid w:val="0"/>
        <w:spacing w:line="360" w:lineRule="auto"/>
        <w:ind w:left="15" w:leftChars="7" w:firstLine="621" w:firstLineChars="222"/>
        <w:rPr>
          <w:rFonts w:ascii="宋体" w:hAnsi="宋体" w:eastAsia="宋体" w:cs="宋体"/>
          <w:sz w:val="28"/>
          <w:szCs w:val="28"/>
        </w:rPr>
      </w:pPr>
      <w:r>
        <w:rPr>
          <w:rFonts w:hint="eastAsia" w:ascii="宋体" w:hAnsi="宋体" w:eastAsia="宋体" w:cs="宋体"/>
          <w:sz w:val="28"/>
          <w:szCs w:val="28"/>
        </w:rPr>
        <w:t>氰化钾等氰化物应专库储存，严禁与硫酸、盐酸等酸性物品共存。</w:t>
      </w:r>
    </w:p>
    <w:p>
      <w:pPr>
        <w:numPr>
          <w:ilvl w:val="3"/>
          <w:numId w:val="1"/>
        </w:numPr>
        <w:snapToGrid w:val="0"/>
        <w:spacing w:line="360" w:lineRule="auto"/>
        <w:ind w:left="15" w:leftChars="7" w:firstLine="621" w:firstLineChars="222"/>
        <w:rPr>
          <w:rFonts w:ascii="宋体" w:hAnsi="宋体" w:eastAsia="宋体" w:cs="宋体"/>
          <w:sz w:val="28"/>
          <w:szCs w:val="28"/>
        </w:rPr>
      </w:pPr>
      <w:r>
        <w:rPr>
          <w:rFonts w:hint="eastAsia" w:ascii="宋体" w:hAnsi="宋体" w:eastAsia="宋体" w:cs="宋体"/>
          <w:sz w:val="28"/>
          <w:szCs w:val="28"/>
        </w:rPr>
        <w:t>氯气使用存储应符合</w:t>
      </w:r>
      <w:r>
        <w:rPr>
          <w:rFonts w:ascii="宋体" w:hAnsi="宋体" w:eastAsia="宋体" w:cs="宋体"/>
          <w:sz w:val="28"/>
          <w:szCs w:val="28"/>
        </w:rPr>
        <w:t>《氯气安全规程》</w:t>
      </w:r>
      <w:r>
        <w:rPr>
          <w:rFonts w:hint="eastAsia" w:ascii="宋体" w:hAnsi="宋体" w:eastAsia="宋体" w:cs="宋体"/>
          <w:sz w:val="28"/>
          <w:szCs w:val="28"/>
        </w:rPr>
        <w:t>要求。</w:t>
      </w:r>
    </w:p>
    <w:p>
      <w:pPr>
        <w:numPr>
          <w:ilvl w:val="2"/>
          <w:numId w:val="1"/>
        </w:numPr>
        <w:snapToGrid w:val="0"/>
        <w:spacing w:line="360" w:lineRule="auto"/>
        <w:ind w:left="829" w:hanging="199"/>
        <w:outlineLvl w:val="2"/>
        <w:rPr>
          <w:rFonts w:ascii="黑体" w:hAnsi="黑体" w:eastAsia="黑体"/>
          <w:sz w:val="28"/>
          <w:szCs w:val="28"/>
        </w:rPr>
      </w:pPr>
      <w:bookmarkStart w:id="11" w:name="_Toc85809981"/>
      <w:r>
        <w:rPr>
          <w:rFonts w:ascii="黑体" w:hAnsi="黑体" w:eastAsia="黑体"/>
          <w:sz w:val="28"/>
          <w:szCs w:val="28"/>
        </w:rPr>
        <w:t>氨等高毒类危险化学品使用储存要求</w:t>
      </w:r>
      <w:bookmarkEnd w:id="11"/>
    </w:p>
    <w:p>
      <w:pPr>
        <w:numPr>
          <w:ilvl w:val="3"/>
          <w:numId w:val="1"/>
        </w:numPr>
        <w:snapToGrid w:val="0"/>
        <w:spacing w:line="360" w:lineRule="auto"/>
        <w:ind w:left="15" w:leftChars="7" w:firstLine="621" w:firstLineChars="222"/>
        <w:rPr>
          <w:rFonts w:ascii="宋体" w:hAnsi="宋体" w:eastAsia="宋体" w:cs="宋体"/>
          <w:sz w:val="28"/>
          <w:szCs w:val="28"/>
        </w:rPr>
      </w:pPr>
      <w:r>
        <w:rPr>
          <w:rFonts w:hint="eastAsia" w:ascii="宋体" w:hAnsi="宋体" w:eastAsia="宋体" w:cs="宋体"/>
          <w:sz w:val="28"/>
          <w:szCs w:val="28"/>
        </w:rPr>
        <w:t>酒、饮料和精制茶制造业禁止使用液氨作为冷冻剂。</w:t>
      </w:r>
    </w:p>
    <w:p>
      <w:pPr>
        <w:numPr>
          <w:ilvl w:val="3"/>
          <w:numId w:val="1"/>
        </w:numPr>
        <w:snapToGrid w:val="0"/>
        <w:spacing w:line="360" w:lineRule="auto"/>
        <w:ind w:left="15" w:leftChars="7" w:firstLine="621" w:firstLineChars="222"/>
        <w:rPr>
          <w:rFonts w:ascii="宋体" w:hAnsi="宋体" w:eastAsia="宋体" w:cs="宋体"/>
          <w:sz w:val="28"/>
          <w:szCs w:val="28"/>
        </w:rPr>
      </w:pPr>
      <w:r>
        <w:rPr>
          <w:rFonts w:hint="eastAsia" w:ascii="宋体" w:hAnsi="宋体" w:eastAsia="宋体" w:cs="宋体"/>
          <w:sz w:val="28"/>
          <w:szCs w:val="28"/>
        </w:rPr>
        <w:t>高毒作业场所需设置应急撤离通道和必要的泄险区。</w:t>
      </w:r>
    </w:p>
    <w:p>
      <w:pPr>
        <w:numPr>
          <w:ilvl w:val="3"/>
          <w:numId w:val="1"/>
        </w:numPr>
        <w:snapToGrid w:val="0"/>
        <w:spacing w:line="360" w:lineRule="auto"/>
        <w:ind w:left="15" w:leftChars="7" w:firstLine="621" w:firstLineChars="222"/>
        <w:rPr>
          <w:rFonts w:ascii="宋体" w:hAnsi="宋体" w:eastAsia="宋体" w:cs="宋体"/>
          <w:sz w:val="28"/>
          <w:szCs w:val="28"/>
        </w:rPr>
      </w:pPr>
      <w:r>
        <w:rPr>
          <w:rFonts w:hint="eastAsia" w:ascii="宋体" w:hAnsi="宋体" w:eastAsia="宋体" w:cs="宋体"/>
          <w:sz w:val="28"/>
          <w:szCs w:val="28"/>
        </w:rPr>
        <w:t>在高毒物品的设备、容器或者狭窄封闭场所作业时，用人单位应当设置现场监护人员和现场救援设备。</w:t>
      </w:r>
    </w:p>
    <w:p>
      <w:pPr>
        <w:keepNext/>
        <w:numPr>
          <w:ilvl w:val="1"/>
          <w:numId w:val="1"/>
        </w:numPr>
        <w:snapToGrid w:val="0"/>
        <w:spacing w:before="187" w:after="187"/>
        <w:ind w:left="993" w:hanging="352"/>
        <w:outlineLvl w:val="1"/>
        <w:rPr>
          <w:rFonts w:ascii="黑体" w:hAnsi="黑体" w:eastAsia="黑体"/>
          <w:sz w:val="28"/>
          <w:szCs w:val="28"/>
        </w:rPr>
      </w:pPr>
      <w:r>
        <w:rPr>
          <w:rFonts w:hint="eastAsia" w:ascii="黑体" w:hAnsi="黑体" w:eastAsia="黑体" w:cs="黑体"/>
          <w:sz w:val="28"/>
          <w:szCs w:val="28"/>
          <w:lang w:eastAsia="zh-CN"/>
        </w:rPr>
        <w:t>腐蚀性</w:t>
      </w:r>
      <w:r>
        <w:rPr>
          <w:rFonts w:hint="eastAsia" w:ascii="黑体" w:hAnsi="黑体" w:eastAsia="黑体"/>
          <w:sz w:val="28"/>
          <w:szCs w:val="28"/>
        </w:rPr>
        <w:t>危险化学品一般要求</w:t>
      </w:r>
    </w:p>
    <w:p>
      <w:pPr>
        <w:numPr>
          <w:ilvl w:val="2"/>
          <w:numId w:val="1"/>
        </w:numPr>
        <w:snapToGrid w:val="0"/>
        <w:spacing w:line="360" w:lineRule="auto"/>
        <w:ind w:left="829" w:hanging="199"/>
        <w:outlineLvl w:val="2"/>
        <w:rPr>
          <w:rFonts w:hint="eastAsia" w:ascii="黑体" w:hAnsi="黑体" w:eastAsia="黑体"/>
          <w:sz w:val="28"/>
          <w:szCs w:val="28"/>
          <w:lang w:val="en-US" w:eastAsia="zh-CN"/>
        </w:rPr>
      </w:pPr>
      <w:r>
        <w:rPr>
          <w:rFonts w:hint="eastAsia" w:ascii="黑体" w:hAnsi="黑体" w:eastAsia="黑体"/>
          <w:sz w:val="28"/>
          <w:szCs w:val="28"/>
          <w:lang w:val="en-US" w:eastAsia="zh-CN"/>
        </w:rPr>
        <w:t>氢氧化钠、硫酸、盐酸等腐蚀性非气态类</w:t>
      </w:r>
      <w:r>
        <w:rPr>
          <w:rFonts w:ascii="黑体" w:hAnsi="黑体" w:eastAsia="黑体"/>
          <w:sz w:val="28"/>
          <w:szCs w:val="28"/>
        </w:rPr>
        <w:t>危险化学品</w:t>
      </w:r>
      <w:r>
        <w:rPr>
          <w:rFonts w:hint="eastAsia" w:ascii="黑体" w:hAnsi="黑体" w:eastAsia="黑体"/>
          <w:sz w:val="28"/>
          <w:szCs w:val="28"/>
          <w:lang w:val="en-US" w:eastAsia="zh-CN"/>
        </w:rPr>
        <w:t>使用储存要求</w:t>
      </w:r>
    </w:p>
    <w:p>
      <w:pPr>
        <w:numPr>
          <w:ilvl w:val="3"/>
          <w:numId w:val="1"/>
        </w:numPr>
        <w:snapToGrid w:val="0"/>
        <w:spacing w:line="360" w:lineRule="auto"/>
        <w:ind w:left="15" w:leftChars="7" w:firstLine="621" w:firstLineChars="222"/>
        <w:rPr>
          <w:rFonts w:hint="eastAsia" w:ascii="宋体" w:hAnsi="宋体" w:eastAsia="宋体" w:cs="宋体"/>
          <w:sz w:val="28"/>
          <w:szCs w:val="28"/>
        </w:rPr>
      </w:pPr>
      <w:r>
        <w:rPr>
          <w:rFonts w:hint="eastAsia" w:ascii="宋体" w:hAnsi="宋体" w:eastAsia="宋体" w:cs="宋体"/>
          <w:sz w:val="28"/>
          <w:szCs w:val="28"/>
          <w:lang w:val="en-US" w:eastAsia="zh-CN"/>
        </w:rPr>
        <w:t>存储库内应设置温湿度计，按时观测、记录。根据库房条件和商品性质，应采用机械(要有防腐等防护措施）方法通风、去湿、保温。温湿度应符合</w:t>
      </w:r>
      <w:r>
        <w:rPr>
          <w:rFonts w:hint="eastAsia" w:ascii="宋体" w:hAnsi="宋体" w:eastAsia="宋体" w:cs="宋体"/>
          <w:sz w:val="28"/>
          <w:szCs w:val="28"/>
        </w:rPr>
        <w:t>《腐蚀性商品储存养护技术条件》</w:t>
      </w:r>
      <w:r>
        <w:rPr>
          <w:rFonts w:hint="eastAsia" w:ascii="宋体" w:hAnsi="宋体" w:eastAsia="宋体" w:cs="宋体"/>
          <w:sz w:val="28"/>
          <w:szCs w:val="28"/>
          <w:lang w:val="en-US" w:eastAsia="zh-CN"/>
        </w:rPr>
        <w:t>的规定。</w:t>
      </w:r>
      <w:r>
        <w:rPr>
          <w:rFonts w:hint="eastAsia" w:ascii="宋体" w:hAnsi="宋体" w:eastAsia="宋体" w:cs="宋体"/>
          <w:sz w:val="28"/>
          <w:szCs w:val="28"/>
        </w:rPr>
        <w:t>腐蚀性危险化学品</w:t>
      </w:r>
      <w:r>
        <w:rPr>
          <w:rFonts w:hint="eastAsia" w:ascii="宋体" w:hAnsi="宋体" w:eastAsia="宋体" w:cs="宋体"/>
          <w:sz w:val="28"/>
          <w:szCs w:val="28"/>
          <w:lang w:val="en-US" w:eastAsia="zh-CN"/>
        </w:rPr>
        <w:t>使用</w:t>
      </w:r>
      <w:r>
        <w:rPr>
          <w:rFonts w:hint="eastAsia" w:ascii="宋体" w:hAnsi="宋体" w:eastAsia="宋体" w:cs="宋体"/>
          <w:sz w:val="28"/>
          <w:szCs w:val="28"/>
        </w:rPr>
        <w:t>货棚</w:t>
      </w:r>
      <w:r>
        <w:rPr>
          <w:rFonts w:hint="eastAsia" w:ascii="宋体" w:hAnsi="宋体" w:eastAsia="宋体" w:cs="宋体"/>
          <w:sz w:val="28"/>
          <w:szCs w:val="28"/>
          <w:lang w:val="en-US" w:eastAsia="zh-CN"/>
        </w:rPr>
        <w:t>和</w:t>
      </w:r>
      <w:r>
        <w:rPr>
          <w:rFonts w:hint="eastAsia" w:ascii="宋体" w:hAnsi="宋体" w:eastAsia="宋体" w:cs="宋体"/>
          <w:sz w:val="28"/>
          <w:szCs w:val="28"/>
        </w:rPr>
        <w:t>露天货场</w:t>
      </w:r>
      <w:r>
        <w:rPr>
          <w:rFonts w:hint="eastAsia" w:ascii="宋体" w:hAnsi="宋体" w:eastAsia="宋体" w:cs="宋体"/>
          <w:sz w:val="28"/>
          <w:szCs w:val="28"/>
          <w:lang w:val="en-US" w:eastAsia="zh-CN"/>
        </w:rPr>
        <w:t>的，</w:t>
      </w:r>
      <w:r>
        <w:rPr>
          <w:rFonts w:hint="eastAsia" w:ascii="宋体" w:hAnsi="宋体" w:eastAsia="宋体" w:cs="宋体"/>
          <w:sz w:val="28"/>
          <w:szCs w:val="28"/>
        </w:rPr>
        <w:t>货棚应干燥卫生，露天货场应防潮防水。</w:t>
      </w:r>
    </w:p>
    <w:p>
      <w:pPr>
        <w:numPr>
          <w:ilvl w:val="3"/>
          <w:numId w:val="1"/>
        </w:numPr>
        <w:snapToGrid w:val="0"/>
        <w:spacing w:line="360" w:lineRule="auto"/>
        <w:ind w:left="15" w:leftChars="7" w:firstLine="621" w:firstLineChars="222"/>
        <w:rPr>
          <w:rFonts w:hint="eastAsia" w:ascii="宋体" w:hAnsi="宋体" w:eastAsia="宋体" w:cs="宋体"/>
          <w:sz w:val="28"/>
          <w:szCs w:val="28"/>
        </w:rPr>
      </w:pPr>
      <w:r>
        <w:rPr>
          <w:rFonts w:hint="eastAsia" w:ascii="宋体" w:hAnsi="宋体" w:eastAsia="宋体" w:cs="宋体"/>
          <w:sz w:val="28"/>
          <w:szCs w:val="28"/>
        </w:rPr>
        <w:t>溴氢酸、碘氢酸</w:t>
      </w:r>
      <w:r>
        <w:rPr>
          <w:rFonts w:hint="eastAsia" w:ascii="宋体" w:hAnsi="宋体" w:eastAsia="宋体" w:cs="宋体"/>
          <w:sz w:val="28"/>
          <w:szCs w:val="28"/>
          <w:lang w:val="en-US" w:eastAsia="zh-CN"/>
        </w:rPr>
        <w:t>还</w:t>
      </w:r>
      <w:r>
        <w:rPr>
          <w:rFonts w:hint="eastAsia" w:ascii="宋体" w:hAnsi="宋体" w:eastAsia="宋体" w:cs="宋体"/>
          <w:sz w:val="28"/>
          <w:szCs w:val="28"/>
        </w:rPr>
        <w:t>应避光储存，溴素应专库储存。</w:t>
      </w:r>
    </w:p>
    <w:p>
      <w:pPr>
        <w:numPr>
          <w:ilvl w:val="3"/>
          <w:numId w:val="1"/>
        </w:numPr>
        <w:snapToGrid w:val="0"/>
        <w:spacing w:line="360" w:lineRule="auto"/>
        <w:ind w:left="15" w:leftChars="7" w:firstLine="621" w:firstLineChars="222"/>
        <w:rPr>
          <w:rFonts w:hint="eastAsia" w:ascii="宋体" w:hAnsi="宋体" w:eastAsia="宋体" w:cs="宋体"/>
          <w:sz w:val="28"/>
          <w:szCs w:val="28"/>
          <w:lang w:val="en-US" w:eastAsia="zh-CN"/>
        </w:rPr>
      </w:pPr>
      <w:r>
        <w:rPr>
          <w:rFonts w:hint="eastAsia" w:ascii="宋体" w:hAnsi="宋体" w:eastAsia="宋体" w:cs="宋体"/>
          <w:sz w:val="28"/>
          <w:szCs w:val="28"/>
        </w:rPr>
        <w:t>腐蚀性危险化学品堆垛高度应控制在：a</w:t>
      </w:r>
      <w:r>
        <w:rPr>
          <w:rFonts w:hint="eastAsia" w:ascii="宋体" w:hAnsi="宋体" w:eastAsia="宋体" w:cs="宋体"/>
          <w:sz w:val="28"/>
          <w:szCs w:val="28"/>
          <w:lang w:val="en-US" w:eastAsia="zh-CN"/>
        </w:rPr>
        <w:t>.</w:t>
      </w:r>
      <w:r>
        <w:rPr>
          <w:rFonts w:hint="eastAsia" w:ascii="宋体" w:hAnsi="宋体" w:eastAsia="宋体" w:cs="宋体"/>
          <w:sz w:val="28"/>
          <w:szCs w:val="28"/>
        </w:rPr>
        <w:t>大铁桶液体：立码；固体：平放，不应超过3m；b</w:t>
      </w:r>
      <w:r>
        <w:rPr>
          <w:rFonts w:hint="eastAsia" w:ascii="宋体" w:hAnsi="宋体" w:eastAsia="宋体" w:cs="宋体"/>
          <w:sz w:val="28"/>
          <w:szCs w:val="28"/>
          <w:lang w:val="en-US" w:eastAsia="zh-CN"/>
        </w:rPr>
        <w:t>.</w:t>
      </w:r>
      <w:r>
        <w:rPr>
          <w:rFonts w:hint="eastAsia" w:ascii="宋体" w:hAnsi="宋体" w:eastAsia="宋体" w:cs="宋体"/>
          <w:sz w:val="28"/>
          <w:szCs w:val="28"/>
        </w:rPr>
        <w:t>大箱（内装坛、桶）不应超过1.5m；c</w:t>
      </w:r>
      <w:r>
        <w:rPr>
          <w:rFonts w:hint="eastAsia" w:ascii="宋体" w:hAnsi="宋体" w:eastAsia="宋体" w:cs="宋体"/>
          <w:sz w:val="28"/>
          <w:szCs w:val="28"/>
          <w:lang w:val="en-US" w:eastAsia="zh-CN"/>
        </w:rPr>
        <w:t>.</w:t>
      </w:r>
      <w:r>
        <w:rPr>
          <w:rFonts w:hint="eastAsia" w:ascii="宋体" w:hAnsi="宋体" w:eastAsia="宋体" w:cs="宋体"/>
          <w:sz w:val="28"/>
          <w:szCs w:val="28"/>
        </w:rPr>
        <w:t>化学试剂木箱不应超过3m；纸箱不应超过2.5m；d</w:t>
      </w:r>
      <w:r>
        <w:rPr>
          <w:rFonts w:hint="eastAsia" w:ascii="宋体" w:hAnsi="宋体" w:eastAsia="宋体" w:cs="宋体"/>
          <w:sz w:val="28"/>
          <w:szCs w:val="28"/>
          <w:lang w:val="en-US" w:eastAsia="zh-CN"/>
        </w:rPr>
        <w:t>.</w:t>
      </w:r>
      <w:r>
        <w:rPr>
          <w:rFonts w:hint="eastAsia" w:ascii="宋体" w:hAnsi="宋体" w:eastAsia="宋体" w:cs="宋体"/>
          <w:sz w:val="28"/>
          <w:szCs w:val="28"/>
        </w:rPr>
        <w:t>袋装3m</w:t>
      </w:r>
      <w:r>
        <w:rPr>
          <w:rFonts w:hint="eastAsia" w:ascii="宋体" w:hAnsi="宋体" w:eastAsia="宋体" w:cs="宋体"/>
          <w:sz w:val="28"/>
          <w:szCs w:val="28"/>
          <w:lang w:val="en-US" w:eastAsia="zh-CN"/>
        </w:rPr>
        <w:t>至</w:t>
      </w:r>
      <w:r>
        <w:rPr>
          <w:rFonts w:hint="eastAsia" w:ascii="宋体" w:hAnsi="宋体" w:eastAsia="宋体" w:cs="宋体"/>
          <w:sz w:val="28"/>
          <w:szCs w:val="28"/>
        </w:rPr>
        <w:t>3.5m。</w:t>
      </w:r>
    </w:p>
    <w:p>
      <w:pPr>
        <w:numPr>
          <w:ilvl w:val="3"/>
          <w:numId w:val="1"/>
        </w:numPr>
        <w:snapToGrid w:val="0"/>
        <w:spacing w:line="360" w:lineRule="auto"/>
        <w:ind w:left="15" w:leftChars="7" w:firstLine="621" w:firstLineChars="222"/>
        <w:rPr>
          <w:rFonts w:hint="eastAsia" w:ascii="宋体" w:hAnsi="宋体" w:eastAsia="宋体" w:cs="宋体"/>
          <w:sz w:val="28"/>
          <w:szCs w:val="28"/>
        </w:rPr>
      </w:pPr>
      <w:r>
        <w:rPr>
          <w:rFonts w:hint="eastAsia" w:ascii="宋体" w:hAnsi="宋体" w:eastAsia="宋体" w:cs="宋体"/>
          <w:sz w:val="28"/>
          <w:szCs w:val="28"/>
          <w:lang w:val="en-US" w:eastAsia="zh-CN"/>
        </w:rPr>
        <w:t>存储使用</w:t>
      </w:r>
      <w:r>
        <w:rPr>
          <w:rFonts w:hint="eastAsia" w:ascii="宋体" w:hAnsi="宋体" w:eastAsia="宋体" w:cs="宋体"/>
          <w:sz w:val="28"/>
          <w:szCs w:val="28"/>
        </w:rPr>
        <w:t>腐蚀性化学品的</w:t>
      </w:r>
      <w:r>
        <w:rPr>
          <w:rFonts w:hint="eastAsia" w:ascii="宋体" w:hAnsi="宋体" w:eastAsia="宋体" w:cs="宋体"/>
          <w:sz w:val="28"/>
          <w:szCs w:val="28"/>
          <w:lang w:val="en-US" w:eastAsia="zh-CN"/>
        </w:rPr>
        <w:t>区域</w:t>
      </w:r>
      <w:r>
        <w:rPr>
          <w:rFonts w:hint="eastAsia" w:ascii="宋体" w:hAnsi="宋体" w:eastAsia="宋体" w:cs="宋体"/>
          <w:sz w:val="28"/>
          <w:szCs w:val="28"/>
        </w:rPr>
        <w:t>应铺设防腐蚀地面。</w:t>
      </w:r>
    </w:p>
    <w:p>
      <w:pPr>
        <w:numPr>
          <w:ilvl w:val="3"/>
          <w:numId w:val="1"/>
        </w:numPr>
        <w:snapToGrid w:val="0"/>
        <w:spacing w:line="360" w:lineRule="auto"/>
        <w:ind w:left="15" w:leftChars="7" w:firstLine="621" w:firstLineChars="222"/>
        <w:rPr>
          <w:rFonts w:hint="eastAsia" w:ascii="宋体" w:hAnsi="宋体" w:eastAsia="宋体" w:cs="宋体"/>
          <w:sz w:val="28"/>
          <w:szCs w:val="28"/>
        </w:rPr>
      </w:pPr>
      <w:r>
        <w:rPr>
          <w:rFonts w:hint="eastAsia"/>
          <w:sz w:val="28"/>
          <w:szCs w:val="28"/>
          <w:highlight w:val="none"/>
          <w:lang w:eastAsia="zh-CN"/>
        </w:rPr>
        <w:t>腐蚀性危险化学品槽罐</w:t>
      </w:r>
      <w:r>
        <w:rPr>
          <w:rFonts w:hint="eastAsia"/>
          <w:sz w:val="28"/>
          <w:szCs w:val="28"/>
          <w:highlight w:val="none"/>
          <w:lang w:val="en-US" w:eastAsia="zh-CN"/>
        </w:rPr>
        <w:t>的设置</w:t>
      </w:r>
      <w:r>
        <w:rPr>
          <w:rFonts w:hint="eastAsia"/>
          <w:sz w:val="28"/>
          <w:szCs w:val="28"/>
          <w:highlight w:val="none"/>
          <w:lang w:eastAsia="zh-CN"/>
        </w:rPr>
        <w:t>宜</w:t>
      </w:r>
      <w:r>
        <w:rPr>
          <w:rFonts w:hint="eastAsia"/>
          <w:sz w:val="28"/>
          <w:szCs w:val="28"/>
          <w:highlight w:val="none"/>
          <w:lang w:val="en-US" w:eastAsia="zh-CN"/>
        </w:rPr>
        <w:t>避开人员密集区、主要道路和建筑支柱</w:t>
      </w:r>
      <w:r>
        <w:rPr>
          <w:rFonts w:hint="eastAsia"/>
          <w:sz w:val="28"/>
          <w:szCs w:val="28"/>
          <w:highlight w:val="none"/>
          <w:lang w:eastAsia="zh-CN"/>
        </w:rPr>
        <w:t>。</w:t>
      </w:r>
    </w:p>
    <w:p>
      <w:pPr>
        <w:numPr>
          <w:ilvl w:val="3"/>
          <w:numId w:val="1"/>
        </w:numPr>
        <w:snapToGrid w:val="0"/>
        <w:spacing w:line="360" w:lineRule="auto"/>
        <w:ind w:left="15" w:leftChars="7" w:firstLine="621" w:firstLineChars="222"/>
        <w:rPr>
          <w:rFonts w:hint="eastAsia" w:ascii="宋体" w:hAnsi="宋体" w:eastAsia="宋体" w:cs="宋体"/>
          <w:sz w:val="28"/>
          <w:szCs w:val="28"/>
        </w:rPr>
      </w:pPr>
      <w:r>
        <w:rPr>
          <w:rFonts w:hint="eastAsia" w:ascii="宋体" w:hAnsi="宋体" w:eastAsia="宋体" w:cs="宋体"/>
          <w:sz w:val="28"/>
          <w:szCs w:val="28"/>
        </w:rPr>
        <w:t>储存腐蚀性化学品的区域应</w:t>
      </w:r>
      <w:r>
        <w:rPr>
          <w:rFonts w:hint="eastAsia" w:ascii="宋体" w:hAnsi="宋体" w:eastAsia="宋体" w:cs="宋体"/>
          <w:sz w:val="28"/>
          <w:szCs w:val="28"/>
          <w:lang w:val="en-US" w:eastAsia="zh-CN"/>
        </w:rPr>
        <w:t>设置</w:t>
      </w:r>
      <w:r>
        <w:rPr>
          <w:rFonts w:hint="eastAsia" w:ascii="宋体" w:hAnsi="宋体" w:eastAsia="宋体" w:cs="宋体"/>
          <w:sz w:val="28"/>
          <w:szCs w:val="28"/>
        </w:rPr>
        <w:t>围堰</w:t>
      </w:r>
      <w:r>
        <w:rPr>
          <w:rFonts w:hint="eastAsia" w:ascii="宋体" w:hAnsi="宋体" w:eastAsia="宋体" w:cs="宋体"/>
          <w:sz w:val="28"/>
          <w:szCs w:val="28"/>
          <w:lang w:eastAsia="zh-CN"/>
        </w:rPr>
        <w:t>，</w:t>
      </w:r>
      <w:r>
        <w:rPr>
          <w:rFonts w:hint="eastAsia" w:ascii="宋体" w:hAnsi="宋体" w:eastAsia="宋体" w:cs="宋体"/>
          <w:sz w:val="28"/>
          <w:szCs w:val="28"/>
        </w:rPr>
        <w:t>围堰设置应符合下列要求：a</w:t>
      </w:r>
      <w:r>
        <w:rPr>
          <w:rFonts w:hint="eastAsia" w:ascii="宋体" w:hAnsi="宋体" w:eastAsia="宋体" w:cs="宋体"/>
          <w:sz w:val="28"/>
          <w:szCs w:val="28"/>
          <w:lang w:val="en-US" w:eastAsia="zh-CN"/>
        </w:rPr>
        <w:t>.</w:t>
      </w:r>
      <w:r>
        <w:rPr>
          <w:rFonts w:hint="eastAsia" w:ascii="宋体" w:hAnsi="宋体" w:eastAsia="宋体" w:cs="宋体"/>
          <w:sz w:val="28"/>
          <w:szCs w:val="28"/>
        </w:rPr>
        <w:t>围堰高出堰区地面的高度不应小于150mm；b</w:t>
      </w:r>
      <w:r>
        <w:rPr>
          <w:rFonts w:hint="eastAsia" w:ascii="宋体" w:hAnsi="宋体" w:eastAsia="宋体" w:cs="宋体"/>
          <w:sz w:val="28"/>
          <w:szCs w:val="28"/>
          <w:lang w:val="en-US" w:eastAsia="zh-CN"/>
        </w:rPr>
        <w:t>.</w:t>
      </w:r>
      <w:r>
        <w:rPr>
          <w:rFonts w:hint="eastAsia" w:ascii="宋体" w:hAnsi="宋体" w:eastAsia="宋体" w:cs="宋体"/>
          <w:sz w:val="28"/>
          <w:szCs w:val="28"/>
        </w:rPr>
        <w:t>围堰内应有排水设施；c</w:t>
      </w:r>
      <w:r>
        <w:rPr>
          <w:rFonts w:hint="eastAsia" w:ascii="宋体" w:hAnsi="宋体" w:eastAsia="宋体" w:cs="宋体"/>
          <w:sz w:val="28"/>
          <w:szCs w:val="28"/>
          <w:lang w:val="en-US" w:eastAsia="zh-CN"/>
        </w:rPr>
        <w:t>.</w:t>
      </w:r>
      <w:r>
        <w:rPr>
          <w:rFonts w:hint="eastAsia" w:ascii="宋体" w:hAnsi="宋体" w:eastAsia="宋体" w:cs="宋体"/>
          <w:sz w:val="28"/>
          <w:szCs w:val="28"/>
        </w:rPr>
        <w:t>围堰内地面应坡向排水设施，坡度不宜小于0.3%。</w:t>
      </w:r>
    </w:p>
    <w:p>
      <w:pPr>
        <w:numPr>
          <w:ilvl w:val="3"/>
          <w:numId w:val="1"/>
        </w:numPr>
        <w:snapToGrid w:val="0"/>
        <w:spacing w:line="360" w:lineRule="auto"/>
        <w:ind w:left="15" w:leftChars="7" w:firstLine="621" w:firstLineChars="222"/>
        <w:rPr>
          <w:rFonts w:hint="eastAsia" w:ascii="宋体" w:hAnsi="宋体" w:eastAsia="宋体" w:cs="宋体"/>
          <w:sz w:val="28"/>
          <w:szCs w:val="28"/>
          <w:lang w:val="en-US" w:eastAsia="zh-CN"/>
        </w:rPr>
      </w:pPr>
      <w:r>
        <w:rPr>
          <w:rFonts w:hint="eastAsia" w:cs="宋体"/>
          <w:sz w:val="28"/>
          <w:szCs w:val="28"/>
        </w:rPr>
        <w:t>作业时应穿戴防护服、护目镜、橡胶浸塑手套等防护用具，应做到：a</w:t>
      </w:r>
      <w:r>
        <w:rPr>
          <w:rFonts w:hint="eastAsia" w:cs="宋体"/>
          <w:sz w:val="28"/>
          <w:szCs w:val="28"/>
          <w:lang w:val="en-US" w:eastAsia="zh-CN"/>
        </w:rPr>
        <w:t>.</w:t>
      </w:r>
      <w:r>
        <w:rPr>
          <w:rFonts w:hint="eastAsia" w:cs="宋体"/>
          <w:sz w:val="28"/>
          <w:szCs w:val="28"/>
        </w:rPr>
        <w:t>操作时应轻搬轻放，防止摩擦震动和撞击；b</w:t>
      </w:r>
      <w:r>
        <w:rPr>
          <w:rFonts w:hint="eastAsia" w:cs="宋体"/>
          <w:sz w:val="28"/>
          <w:szCs w:val="28"/>
          <w:lang w:val="en-US" w:eastAsia="zh-CN"/>
        </w:rPr>
        <w:t>.</w:t>
      </w:r>
      <w:r>
        <w:rPr>
          <w:rFonts w:hint="eastAsia" w:cs="宋体"/>
          <w:sz w:val="28"/>
          <w:szCs w:val="28"/>
        </w:rPr>
        <w:t>分装、改装、开箱检查等应在库房外进行；c</w:t>
      </w:r>
      <w:r>
        <w:rPr>
          <w:rFonts w:hint="eastAsia" w:cs="宋体"/>
          <w:sz w:val="28"/>
          <w:szCs w:val="28"/>
          <w:lang w:val="en-US" w:eastAsia="zh-CN"/>
        </w:rPr>
        <w:t>.</w:t>
      </w:r>
      <w:r>
        <w:rPr>
          <w:rFonts w:hint="eastAsia" w:cs="宋体"/>
          <w:sz w:val="28"/>
          <w:szCs w:val="28"/>
        </w:rPr>
        <w:t>有氧化性强酸不应采用木质品或易燃材质的货架或垫衬。</w:t>
      </w:r>
    </w:p>
    <w:p>
      <w:pPr>
        <w:numPr>
          <w:ilvl w:val="3"/>
          <w:numId w:val="1"/>
        </w:numPr>
        <w:snapToGrid w:val="0"/>
        <w:spacing w:line="360" w:lineRule="auto"/>
        <w:ind w:left="15" w:leftChars="7" w:firstLine="621" w:firstLineChars="222"/>
        <w:rPr>
          <w:rFonts w:hint="eastAsia" w:cs="宋体"/>
          <w:sz w:val="28"/>
          <w:szCs w:val="28"/>
          <w:lang w:val="en-US" w:eastAsia="zh-CN"/>
        </w:rPr>
      </w:pPr>
      <w:r>
        <w:rPr>
          <w:rFonts w:hint="eastAsia" w:cs="宋体"/>
          <w:sz w:val="28"/>
          <w:szCs w:val="28"/>
          <w:lang w:val="en-US" w:eastAsia="zh-CN"/>
        </w:rPr>
        <w:t>存储</w:t>
      </w:r>
      <w:r>
        <w:rPr>
          <w:rFonts w:hint="eastAsia" w:cs="宋体"/>
          <w:sz w:val="28"/>
          <w:szCs w:val="28"/>
        </w:rPr>
        <w:t>场所</w:t>
      </w:r>
      <w:r>
        <w:rPr>
          <w:rFonts w:hint="eastAsia" w:cs="宋体"/>
          <w:sz w:val="28"/>
          <w:szCs w:val="28"/>
          <w:lang w:eastAsia="zh-CN"/>
        </w:rPr>
        <w:t>应设置洗眼</w:t>
      </w:r>
      <w:r>
        <w:rPr>
          <w:rFonts w:hint="eastAsia" w:cs="宋体"/>
          <w:sz w:val="28"/>
          <w:szCs w:val="28"/>
          <w:lang w:val="en-US" w:eastAsia="zh-CN"/>
        </w:rPr>
        <w:t>器等应急处置设施，</w:t>
      </w:r>
      <w:r>
        <w:rPr>
          <w:rFonts w:hint="eastAsia" w:cs="宋体"/>
          <w:sz w:val="28"/>
          <w:szCs w:val="28"/>
        </w:rPr>
        <w:t>使用场所</w:t>
      </w:r>
      <w:r>
        <w:rPr>
          <w:rFonts w:hint="eastAsia" w:cs="宋体"/>
          <w:sz w:val="28"/>
          <w:szCs w:val="28"/>
          <w:lang w:val="en-US" w:eastAsia="zh-CN"/>
        </w:rPr>
        <w:t>宜根据用量等情况参照存储</w:t>
      </w:r>
      <w:r>
        <w:rPr>
          <w:rFonts w:hint="eastAsia" w:cs="宋体"/>
          <w:sz w:val="28"/>
          <w:szCs w:val="28"/>
        </w:rPr>
        <w:t>场所</w:t>
      </w:r>
      <w:r>
        <w:rPr>
          <w:rFonts w:hint="eastAsia" w:cs="宋体"/>
          <w:sz w:val="28"/>
          <w:szCs w:val="28"/>
          <w:lang w:val="en-US" w:eastAsia="zh-CN"/>
        </w:rPr>
        <w:t>设置应急处置设施</w:t>
      </w:r>
      <w:r>
        <w:rPr>
          <w:rFonts w:hint="eastAsia" w:cs="宋体"/>
          <w:sz w:val="28"/>
          <w:szCs w:val="28"/>
        </w:rPr>
        <w:t>。</w:t>
      </w:r>
    </w:p>
    <w:p>
      <w:pPr>
        <w:numPr>
          <w:ilvl w:val="2"/>
          <w:numId w:val="1"/>
        </w:numPr>
        <w:snapToGrid w:val="0"/>
        <w:spacing w:line="360" w:lineRule="auto"/>
        <w:ind w:left="829" w:hanging="199"/>
        <w:outlineLvl w:val="2"/>
        <w:rPr>
          <w:rFonts w:ascii="宋体" w:hAnsi="宋体" w:eastAsia="宋体" w:cs="宋体"/>
          <w:sz w:val="28"/>
          <w:szCs w:val="28"/>
        </w:rPr>
      </w:pPr>
      <w:r>
        <w:rPr>
          <w:rFonts w:hint="eastAsia" w:ascii="黑体" w:hAnsi="黑体" w:eastAsia="黑体"/>
          <w:sz w:val="28"/>
          <w:szCs w:val="28"/>
          <w:lang w:val="en-US" w:eastAsia="zh-CN"/>
        </w:rPr>
        <w:t>二氧化硫等腐蚀性气态类</w:t>
      </w:r>
      <w:r>
        <w:rPr>
          <w:rFonts w:ascii="黑体" w:hAnsi="黑体" w:eastAsia="黑体"/>
          <w:sz w:val="28"/>
          <w:szCs w:val="28"/>
        </w:rPr>
        <w:t>危险化学品</w:t>
      </w:r>
      <w:r>
        <w:rPr>
          <w:rFonts w:hint="eastAsia" w:ascii="黑体" w:hAnsi="黑体" w:eastAsia="黑体"/>
          <w:sz w:val="28"/>
          <w:szCs w:val="28"/>
          <w:lang w:val="en-US" w:eastAsia="zh-CN"/>
        </w:rPr>
        <w:t>使用储存要求</w:t>
      </w:r>
    </w:p>
    <w:p>
      <w:pPr>
        <w:numPr>
          <w:ilvl w:val="3"/>
          <w:numId w:val="1"/>
        </w:numPr>
        <w:snapToGrid w:val="0"/>
        <w:spacing w:line="360" w:lineRule="auto"/>
        <w:ind w:left="15" w:leftChars="7" w:firstLine="621" w:firstLineChars="222"/>
        <w:rPr>
          <w:rFonts w:hint="eastAsia" w:ascii="宋体" w:hAnsi="宋体" w:eastAsia="宋体" w:cs="宋体"/>
          <w:b w:val="0"/>
          <w:bCs w:val="0"/>
          <w:kern w:val="2"/>
          <w:sz w:val="28"/>
          <w:szCs w:val="28"/>
          <w:lang w:val="en-US" w:eastAsia="zh-CN" w:bidi="ar-SA"/>
        </w:rPr>
      </w:pPr>
      <w:r>
        <w:rPr>
          <w:rFonts w:hint="eastAsia" w:cs="宋体"/>
          <w:sz w:val="28"/>
          <w:szCs w:val="28"/>
          <w:lang w:val="en-US" w:eastAsia="zh-CN"/>
        </w:rPr>
        <w:t>二氧化硫</w:t>
      </w:r>
      <w:r>
        <w:rPr>
          <w:rFonts w:hint="eastAsia" w:cs="宋体"/>
          <w:sz w:val="28"/>
          <w:szCs w:val="28"/>
        </w:rPr>
        <w:t>等</w:t>
      </w:r>
      <w:r>
        <w:rPr>
          <w:rFonts w:hint="eastAsia" w:cs="宋体"/>
          <w:sz w:val="28"/>
          <w:szCs w:val="28"/>
          <w:lang w:val="en-US" w:eastAsia="zh-CN"/>
        </w:rPr>
        <w:t>兼</w:t>
      </w:r>
      <w:r>
        <w:rPr>
          <w:rFonts w:hint="eastAsia" w:cs="宋体"/>
          <w:sz w:val="28"/>
          <w:szCs w:val="28"/>
        </w:rPr>
        <w:t>有毒害性</w:t>
      </w:r>
      <w:r>
        <w:rPr>
          <w:rFonts w:hint="eastAsia" w:cs="宋体"/>
          <w:sz w:val="28"/>
          <w:szCs w:val="28"/>
          <w:lang w:val="en-US" w:eastAsia="zh-CN"/>
        </w:rPr>
        <w:t>的</w:t>
      </w:r>
      <w:r>
        <w:rPr>
          <w:rFonts w:hint="eastAsia" w:cs="宋体"/>
          <w:sz w:val="28"/>
          <w:szCs w:val="28"/>
        </w:rPr>
        <w:t>腐蚀性气体</w:t>
      </w:r>
      <w:r>
        <w:rPr>
          <w:rFonts w:hint="eastAsia" w:cs="宋体"/>
          <w:sz w:val="28"/>
          <w:szCs w:val="28"/>
          <w:lang w:val="en-US" w:eastAsia="zh-CN"/>
        </w:rPr>
        <w:t>使用</w:t>
      </w:r>
      <w:r>
        <w:rPr>
          <w:rFonts w:hint="eastAsia" w:cs="宋体"/>
          <w:sz w:val="28"/>
          <w:szCs w:val="28"/>
        </w:rPr>
        <w:t>储存</w:t>
      </w:r>
      <w:r>
        <w:rPr>
          <w:rFonts w:hint="eastAsia" w:cs="宋体"/>
          <w:sz w:val="28"/>
          <w:szCs w:val="28"/>
          <w:lang w:val="en-US" w:eastAsia="zh-CN"/>
        </w:rPr>
        <w:t>还</w:t>
      </w:r>
      <w:r>
        <w:rPr>
          <w:rFonts w:hint="eastAsia" w:cs="宋体"/>
          <w:sz w:val="28"/>
          <w:szCs w:val="28"/>
        </w:rPr>
        <w:t>应满足本《安全手册》第3.3节的要求。</w:t>
      </w:r>
    </w:p>
    <w:p>
      <w:pPr>
        <w:numPr>
          <w:ilvl w:val="3"/>
          <w:numId w:val="1"/>
        </w:numPr>
        <w:snapToGrid w:val="0"/>
        <w:spacing w:line="360" w:lineRule="auto"/>
        <w:ind w:left="15" w:leftChars="7" w:firstLine="621" w:firstLineChars="222"/>
        <w:rPr>
          <w:rFonts w:ascii="宋体" w:hAnsi="宋体" w:eastAsia="宋体" w:cs="宋体"/>
          <w:sz w:val="28"/>
          <w:szCs w:val="28"/>
        </w:rPr>
      </w:pPr>
      <w:r>
        <w:rPr>
          <w:rFonts w:hint="eastAsia" w:cs="宋体"/>
          <w:sz w:val="28"/>
          <w:szCs w:val="28"/>
          <w:lang w:val="en-US" w:eastAsia="zh-CN"/>
        </w:rPr>
        <w:t>有腐蚀性气体的场所应采用密闭型灯具，</w:t>
      </w:r>
      <w:r>
        <w:rPr>
          <w:rFonts w:hint="eastAsia" w:ascii="宋体" w:hAnsi="宋体" w:eastAsia="宋体" w:cs="宋体"/>
          <w:b w:val="0"/>
          <w:bCs w:val="0"/>
          <w:kern w:val="2"/>
          <w:sz w:val="28"/>
          <w:szCs w:val="28"/>
          <w:lang w:val="en-US" w:eastAsia="zh-CN" w:bidi="ar-SA"/>
        </w:rPr>
        <w:t>设备及管道系统上应安装耐蚀</w:t>
      </w:r>
      <w:r>
        <w:rPr>
          <w:rFonts w:hint="eastAsia" w:ascii="宋体" w:hAnsi="宋体" w:eastAsia="宋体" w:cs="宋体"/>
          <w:b w:val="0"/>
          <w:bCs w:val="0"/>
          <w:kern w:val="2"/>
          <w:sz w:val="28"/>
          <w:szCs w:val="28"/>
          <w:lang w:val="en-US" w:eastAsia="zh-CN" w:bidi="ar-SA"/>
        </w:rPr>
        <w:fldChar w:fldCharType="begin"/>
      </w:r>
      <w:r>
        <w:rPr>
          <w:rFonts w:hint="eastAsia" w:ascii="宋体" w:hAnsi="宋体" w:eastAsia="宋体" w:cs="宋体"/>
          <w:b w:val="0"/>
          <w:bCs w:val="0"/>
          <w:kern w:val="2"/>
          <w:sz w:val="28"/>
          <w:szCs w:val="28"/>
          <w:lang w:val="en-US" w:eastAsia="zh-CN" w:bidi="ar-SA"/>
        </w:rPr>
        <w:instrText xml:space="preserve"> HYPERLINK "http://www.76616.com/tag/%e8%86%9c%e7%89%87/" \o "查看与 膜片 相关的文章" \t "http://www.76616.com/_blank" </w:instrText>
      </w:r>
      <w:r>
        <w:rPr>
          <w:rFonts w:hint="eastAsia" w:ascii="宋体" w:hAnsi="宋体" w:eastAsia="宋体" w:cs="宋体"/>
          <w:b w:val="0"/>
          <w:bCs w:val="0"/>
          <w:kern w:val="2"/>
          <w:sz w:val="28"/>
          <w:szCs w:val="28"/>
          <w:lang w:val="en-US" w:eastAsia="zh-CN" w:bidi="ar-SA"/>
        </w:rPr>
        <w:fldChar w:fldCharType="separate"/>
      </w:r>
      <w:r>
        <w:rPr>
          <w:rFonts w:hint="eastAsia" w:ascii="宋体" w:hAnsi="宋体" w:eastAsia="宋体" w:cs="宋体"/>
          <w:b w:val="0"/>
          <w:bCs w:val="0"/>
          <w:kern w:val="2"/>
          <w:sz w:val="28"/>
          <w:szCs w:val="28"/>
          <w:lang w:val="en-US" w:eastAsia="zh-CN" w:bidi="ar-SA"/>
        </w:rPr>
        <w:t>膜片</w:t>
      </w:r>
      <w:r>
        <w:rPr>
          <w:rFonts w:hint="eastAsia" w:ascii="宋体" w:hAnsi="宋体" w:eastAsia="宋体" w:cs="宋体"/>
          <w:b w:val="0"/>
          <w:bCs w:val="0"/>
          <w:kern w:val="2"/>
          <w:sz w:val="28"/>
          <w:szCs w:val="28"/>
          <w:lang w:val="en-US" w:eastAsia="zh-CN" w:bidi="ar-SA"/>
        </w:rPr>
        <w:fldChar w:fldCharType="end"/>
      </w:r>
      <w:r>
        <w:rPr>
          <w:rFonts w:hint="eastAsia" w:ascii="宋体" w:hAnsi="宋体" w:eastAsia="宋体" w:cs="宋体"/>
          <w:b w:val="0"/>
          <w:bCs w:val="0"/>
          <w:kern w:val="2"/>
          <w:sz w:val="28"/>
          <w:szCs w:val="28"/>
          <w:lang w:val="en-US" w:eastAsia="zh-CN" w:bidi="ar-SA"/>
        </w:rPr>
        <w:t>式压力指示计，</w:t>
      </w:r>
      <w:r>
        <w:rPr>
          <w:rFonts w:hint="eastAsia" w:cs="宋体"/>
          <w:sz w:val="28"/>
          <w:szCs w:val="28"/>
          <w:lang w:val="en-US" w:eastAsia="zh-CN"/>
        </w:rPr>
        <w:t>其他设备部件也应采取防腐蚀措施。</w:t>
      </w:r>
    </w:p>
    <w:p>
      <w:pPr>
        <w:keepNext/>
        <w:numPr>
          <w:ilvl w:val="0"/>
          <w:numId w:val="1"/>
        </w:numPr>
        <w:snapToGrid w:val="0"/>
        <w:spacing w:before="187" w:after="187"/>
        <w:ind w:left="425" w:hanging="425"/>
        <w:outlineLvl w:val="0"/>
        <w:rPr>
          <w:rFonts w:ascii="黑体" w:hAnsi="黑体" w:eastAsia="黑体"/>
          <w:sz w:val="28"/>
          <w:szCs w:val="28"/>
        </w:rPr>
      </w:pPr>
      <w:bookmarkStart w:id="12" w:name="_Toc85809982"/>
      <w:r>
        <w:rPr>
          <w:rFonts w:ascii="黑体" w:hAnsi="黑体" w:eastAsia="黑体"/>
          <w:sz w:val="28"/>
          <w:szCs w:val="28"/>
        </w:rPr>
        <w:t>重点行业领域</w:t>
      </w:r>
      <w:r>
        <w:rPr>
          <w:rFonts w:hint="eastAsia" w:ascii="黑体" w:hAnsi="黑体" w:eastAsia="黑体"/>
          <w:sz w:val="28"/>
          <w:szCs w:val="28"/>
        </w:rPr>
        <w:t>企业</w:t>
      </w:r>
      <w:r>
        <w:rPr>
          <w:rFonts w:ascii="黑体" w:hAnsi="黑体" w:eastAsia="黑体"/>
          <w:sz w:val="28"/>
          <w:szCs w:val="28"/>
        </w:rPr>
        <w:t>安全管理要求</w:t>
      </w:r>
      <w:bookmarkEnd w:id="12"/>
    </w:p>
    <w:p>
      <w:pPr>
        <w:keepNext/>
        <w:numPr>
          <w:ilvl w:val="1"/>
          <w:numId w:val="1"/>
        </w:numPr>
        <w:snapToGrid w:val="0"/>
        <w:spacing w:before="187" w:after="187"/>
        <w:ind w:left="993" w:hanging="352"/>
        <w:outlineLvl w:val="1"/>
        <w:rPr>
          <w:rFonts w:ascii="黑体" w:hAnsi="黑体" w:eastAsia="黑体"/>
          <w:sz w:val="28"/>
          <w:szCs w:val="28"/>
        </w:rPr>
      </w:pPr>
      <w:bookmarkStart w:id="13" w:name="_Toc85809983"/>
      <w:r>
        <w:rPr>
          <w:rFonts w:hint="eastAsia" w:ascii="黑体" w:hAnsi="黑体" w:eastAsia="黑体"/>
          <w:sz w:val="28"/>
          <w:szCs w:val="28"/>
        </w:rPr>
        <w:t>涉重大危险源企业管理要求</w:t>
      </w:r>
      <w:bookmarkEnd w:id="13"/>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重大危险源罐区储罐应设置液位监测器，应具备高低位液位报警功能。</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大型(5000m³以上)可燃液体储罐、400m³以上的危险化学品压力储罐应另设高高液位监测报警及联锁控制系统。可根据实际情况设置储罐的温度、液位、压力以及环境温度等参数的联锁自动控制装备，包括物料的自动切断或转移以及喷淋降温装备等。</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防雷装备按《石油库设计规范》设置。定期监测避雷针（网、带）的接地电阻，不得大于10Ω。</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罐区消防灭火装备的设置应符合《石油化工企业设计防火标准》和《石油库设计规范》的要求。</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使用氯气、氨气、光气、硫化氢等吸入性有毒有害气体的企业，构成重大危险源的，应当设立气体防护站（组）。</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重大危险源应配备温度、压力、液位、流量等信息的不间断采集和监测系统以及可燃气体和有毒有害气体泄漏检测报警装置，并具备信息远传、记录、安全预警、信息存储等功能。</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企业应定期对重大危险源的安全设施和安全监测监控系统进行检测、检验，并进行经常性维护、保养，保证重大危险源的安全设施和安全监测监控系统有效、可靠运行。维护、保养、检测应当作好记录，并由有关人员签字。</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通过定量风险评价确定的重大危险源的个人和社会风险值，不得超过个人和社会可容许风险限值标准。超过个人和社会可容许风险限值标准的，危险化学品单位应当采取相应的降低风险措施。</w:t>
      </w:r>
    </w:p>
    <w:p>
      <w:pPr>
        <w:keepNext/>
        <w:numPr>
          <w:ilvl w:val="1"/>
          <w:numId w:val="1"/>
        </w:numPr>
        <w:snapToGrid w:val="0"/>
        <w:spacing w:before="187" w:after="187"/>
        <w:ind w:left="993" w:hanging="352"/>
        <w:outlineLvl w:val="1"/>
        <w:rPr>
          <w:rFonts w:ascii="黑体" w:hAnsi="黑体" w:eastAsia="黑体"/>
          <w:sz w:val="28"/>
          <w:szCs w:val="28"/>
        </w:rPr>
      </w:pPr>
      <w:bookmarkStart w:id="14" w:name="_Toc85809984"/>
      <w:r>
        <w:rPr>
          <w:rFonts w:hint="eastAsia" w:ascii="黑体" w:hAnsi="黑体" w:eastAsia="黑体"/>
          <w:sz w:val="28"/>
          <w:szCs w:val="28"/>
        </w:rPr>
        <w:t>涉加氢、聚合重点工艺企业管理要求</w:t>
      </w:r>
      <w:bookmarkEnd w:id="14"/>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加氢工艺、聚合工艺应设置自动控制系统，自动控制系统应具备远程调节、信息存储、连续记录、超限报警、连锁切断、紧急停车等功能，记录的电子数据的保存时间不少于30天。</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加氢工艺、聚合工艺的安全控制要求：反应釜的温度和压力的报警及联锁，紧急冷却系统，搅拌的稳定控制系统，紧急切断系统，可燃和有毒气体检测报警装置。</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加氢工艺还应采取的安全控制要求：物料的比例控制和联锁系统，紧急切断系统应切断的是氢气，设备应加装安全阀、爆破片等安全附件，循环氢压缩机设置停机报警和联锁。</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聚合反应还应采取的安全控制要求：紧急加入反应终止剂系统。搅拌的联锁系统，料仓静电消除、可燃气体置换系统，高压聚合反应釜应设有防爆墙和泄爆面等。</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加氢工艺、聚合工艺的工艺控制方式：反应釜内温度、压力与釜内搅拌电流、物料流量、反应釜夹套冷却水进水阀形成联锁关系，设立紧急停车系统和安全泄放系统。</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加氢工艺应采取的工艺控制方式：反应釜物料流量特指氢气流量，加氢反应还应加入急冷氮气或氢气的系统，当加氢反应釜内温度或压力超标或搅拌系统发生故障时自动停止加氢并泄压，进入紧急状态。</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聚合工艺应采取的工艺控制方式：物料流量特指聚合单体流量和引发剂加入量，当反应釜超温、搅拌失效或冷却失效时，应设置及时加入聚合反应终止剂系统。</w:t>
      </w:r>
    </w:p>
    <w:p>
      <w:pPr>
        <w:keepNext/>
        <w:numPr>
          <w:ilvl w:val="1"/>
          <w:numId w:val="1"/>
        </w:numPr>
        <w:snapToGrid w:val="0"/>
        <w:spacing w:before="187" w:after="187"/>
        <w:ind w:left="993" w:hanging="352"/>
        <w:outlineLvl w:val="1"/>
        <w:rPr>
          <w:rFonts w:ascii="黑体" w:hAnsi="黑体" w:eastAsia="黑体"/>
          <w:sz w:val="28"/>
          <w:szCs w:val="28"/>
        </w:rPr>
      </w:pPr>
      <w:bookmarkStart w:id="15" w:name="_Toc85809985"/>
      <w:r>
        <w:rPr>
          <w:rFonts w:hint="eastAsia" w:ascii="黑体" w:hAnsi="黑体" w:eastAsia="黑体"/>
          <w:sz w:val="28"/>
          <w:szCs w:val="28"/>
        </w:rPr>
        <w:t>金属熔融企业管理要求</w:t>
      </w:r>
      <w:bookmarkEnd w:id="15"/>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乙炔站、丙烷气站、供油站、天然气储配站等火灾和爆炸危险性较大的及产生烟尘、有毒有害气体的设施，应位于厂区和居住区常年最小频率风向的上风侧。</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煤气工程设计应安全可靠，应优先采用智能化、机械化、自动化措施，符合《工业企业煤气安全规程》的要求。</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发生炉煤气、水煤气（含半水煤气）、直立连续式炭化炉煤气的生产与净化设施应符合《工业企业煤气安全规程》的要求。</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高炉煤气、焦炉煤气、转炉煤气的回收与净化设施应符合《工业企业煤气安全规程》的要求。</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煤气柜应位于厂区和居住区常年最小频率风向的上风侧。</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煤气管道（含天然气管道）的安全管理应符合《工业企业煤气安全规程》的要求，配备煤气在线监测、防护设施。煤气危险区（如地下室、加压站、热风炉及各种煤气发生设施附近）的一氧化碳浓度应定期测定，在关键部位应设置一氧化碳监测装置。作业环境一氧化碳最高允许浓度为30mg/m</w:t>
      </w:r>
      <w:r>
        <w:rPr>
          <w:rFonts w:hint="eastAsia" w:ascii="宋体" w:hAnsi="宋体" w:eastAsia="宋体" w:cs="宋体"/>
          <w:sz w:val="28"/>
          <w:szCs w:val="28"/>
          <w:vertAlign w:val="superscript"/>
        </w:rPr>
        <w:t>3</w:t>
      </w:r>
      <w:r>
        <w:rPr>
          <w:rFonts w:hint="eastAsia" w:ascii="宋体" w:hAnsi="宋体" w:eastAsia="宋体" w:cs="宋体"/>
          <w:sz w:val="28"/>
          <w:szCs w:val="28"/>
        </w:rPr>
        <w:t>（24ppm）。</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进入涉及煤气、氮气等有毒有害气体设施内的有限空间作业，应遵守有限空间作业安全管理和《密闭空间作业职业危害防护规范》的规定要求，先通风，再检测，后作业。</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氧气管道及设备的设计、施工、生产、维护、安全保护装置(安全泄放装置、阻火器)以及安全防护的基本要求应严格遵循《压力管道规范 工业管道 第6部分：安全防护》的相关技术要求，还应符合《氧气站设计规范》、《深度冷冻法生产氧气及相关气体安全技术规程》的规定。</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氧气站应位于空气洁净区域，其空分设备的吸风口应位于各种易燃、易爆性气源与尘源的常年最小频率风向的下风侧。</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在氧气管道中，干、湿氧气不应混送，也不应交替输送。</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富氧房及其设施安全管理应符合《炼铁安全规程》相关要求。</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通氧气用的耐高压胶管应脱脂。炉前使用的氧气胶管，长度不应小于30m，10m内不应有接头。吹氧钢管长度不应小于6m。氧气胶管与钢管联接，应严密、牢固。</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氧气瓶放置地点，应远离明火，且不得正对渣口、铁口。氧气瓶的瓶帽、防震胶圈和安全阀应完好、齐全，并严防油脂污染。</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供氧设备、管道以及工作人员使用的工具、防护用品不应有油污；使用的工具还应镀铜、脱脂。检修时宜穿戴静电防护用品不应穿化纤服装。</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检修供氧设备动火前，应认真检查氧气阀门，确保不泄漏，应用干燥的氮气或无油的干燥空气置换，经取样化验合格（氧浓度不大于23%），并经主管部门同意，方可施工。</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进入充装氧气的设备、管道、容器内检修，应先可靠切断气源，先用干燥的氮气进行置换，再用无油的干燥空气进行吹扫后经检测氧含量在 19.5%～23%范围内，方可进行。</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检修后和长期停用的氧气管道，应经彻底检查、吹扫，确认管内无油脂及杂物，方可启用。</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高炉工业蒸汽分汽包、压缩空气分汽包、氮气储气罐、喷煤系统的中间罐与喷吹罐、汽化冷却汽包以及软水密闭循环冷却的膨胀罐等，其设计、制造和使用，应符合《压力容器》等国家有关压力容器的规定。</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油库及油泵室的设置，应遵守《建筑设计防火规范》的规定。油库及油泵室应有防火设施。油质应定期检验并作好记录。油库周围，不应安装、修造电气设备。油库区应设避雷装置。</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脱硫剂的使用，应遵守下列规定：</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——采用CaC</w:t>
      </w:r>
      <w:r>
        <w:rPr>
          <w:rFonts w:hint="eastAsia" w:ascii="宋体" w:hAnsi="宋体" w:eastAsia="宋体" w:cs="宋体"/>
          <w:sz w:val="27"/>
          <w:szCs w:val="27"/>
          <w:vertAlign w:val="subscript"/>
        </w:rPr>
        <w:t>2</w:t>
      </w:r>
      <w:r>
        <w:rPr>
          <w:rFonts w:hint="eastAsia" w:ascii="宋体" w:hAnsi="宋体" w:eastAsia="宋体" w:cs="宋体"/>
          <w:sz w:val="28"/>
          <w:szCs w:val="28"/>
        </w:rPr>
        <w:t>与钝化镁作脱硫剂时，其贮粉仓应采用氮气保护；泄压时排出的粉尘应回收；该区域应防水、防火，脱硫站氮气供应源应有湿气分析和报警装置。</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——CaC</w:t>
      </w:r>
      <w:r>
        <w:rPr>
          <w:rFonts w:hint="eastAsia" w:ascii="宋体" w:hAnsi="宋体" w:eastAsia="宋体" w:cs="宋体"/>
          <w:sz w:val="27"/>
          <w:szCs w:val="27"/>
          <w:vertAlign w:val="subscript"/>
        </w:rPr>
        <w:t>2</w:t>
      </w:r>
      <w:r>
        <w:rPr>
          <w:rFonts w:hint="eastAsia" w:ascii="宋体" w:hAnsi="宋体" w:eastAsia="宋体" w:cs="宋体"/>
          <w:sz w:val="28"/>
          <w:szCs w:val="28"/>
        </w:rPr>
        <w:t>仓附近区域，应设乙炔检测和报警装置。钝化镁仓应设氧气检测和报警装置。</w:t>
      </w:r>
    </w:p>
    <w:p>
      <w:pPr>
        <w:keepNext/>
        <w:numPr>
          <w:ilvl w:val="1"/>
          <w:numId w:val="1"/>
        </w:numPr>
        <w:snapToGrid w:val="0"/>
        <w:spacing w:before="187" w:after="187"/>
        <w:ind w:left="993" w:hanging="352"/>
        <w:outlineLvl w:val="1"/>
        <w:rPr>
          <w:rFonts w:ascii="黑体" w:hAnsi="黑体" w:eastAsia="黑体"/>
          <w:sz w:val="28"/>
          <w:szCs w:val="28"/>
        </w:rPr>
      </w:pPr>
      <w:bookmarkStart w:id="16" w:name="_Toc85809986"/>
      <w:r>
        <w:rPr>
          <w:rFonts w:hint="eastAsia" w:ascii="黑体" w:hAnsi="黑体" w:eastAsia="黑体"/>
          <w:sz w:val="28"/>
          <w:szCs w:val="28"/>
        </w:rPr>
        <w:t>涉氨（制冷、分解）企业管理要求</w:t>
      </w:r>
      <w:bookmarkEnd w:id="16"/>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氨分解炉区域与其他作业场所应进行有效的防火分隔；冷库的库房与加工车间贴临建造时，应采用防火墙分隔，当确需开设相互连通的人行开口时，应采用防火隔间措施进行分隔；员工宿舍不应与氨制冷机房、冷库或其他厂房、仓库设置在同一座建筑物内。</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氨制冷机房和变配电所的门应采用平开门并向外开启。氨制冷机房、配电室和控制室之间连通的门均应为乙级防火门。</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依照《爆炸危险环境电力装置设计规范》要求液氨储存区域和氨分解炉区域电气设施应满足电气防爆要求。</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依照《国家安全监管总局关于公布首批重点监管的危险化学品名录的通知》要求液氨储存区域和氨分解炉区域应设置氨气泄漏检测报警仪，使用和储存氨场所应设置防爆型的通风设备。</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依照《氢气站设计规范》氨分解炉区域及分解混合气使用区域应设置氢气泄漏报警装置，使用场所应设置防爆型的通风设备。</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按《电气装置安装工程接地装置施工及验收规范》要求氨分解炉应做可靠接地。</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液氨储罐出口需安装有减压阀，或氨分解炉设备前端安装气化器。</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氨分解设备中冷却器后宜设置放空阀旁路，方便停炉时分解氨的混合气排放，放空管应导引至室外安全处，放空管宜设置阻火器，放空管管口宜高出屋脊1m。</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进入车间的氢氮混合气管道宜设置切断阀；氨分解炉进气管道和出气管道上应设置符合量程要求的压力表。</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氨分解炉、热交换器处应设置防护网。</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涉氨制冷厂区、库区应按《建筑设计防火规范》、《消防给水及消火栓系统技术规范》的有关要求设置室外消防给水系统，并按规定要求设置一定数量的室外消火栓（市政消火栓或消防水池可作为室外消火栓），其保护半径不应小于150m。</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在氨制冷机房门口外侧便于操作的位置，应设置切断制冷系统电源的紧急控制装置，并应设置警示标识。</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制冷系统用压力容器、加氨站集管，以及氨液体、气体分配站集管和空气分离器的回气管，均应安装氨专用压力表。安装位置距操作者直线距离不应超过3m，且应清晰可见。</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氨制冷机房应设置防爆型事故排风机，排风量应按设计要求确定。在控制室排风机控制柜上和制冷机房门口外墙上应安装人工启停控制按钮，排风机应能通过气体浓度报警装置的报警信号自动开启，又能人工控制启停。</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设于室外的氨制冷机组、贮氨器应有通风良好的遮阳设施。</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氨制冷机房应设置氨气浓度报警装置。氨气浓度传感器应安装在氨制冷机组、氨泵及贮氨器的上方。</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冷凝器应设冷凝压力超压报警装置。水冷冷凝器应设断水报警装置；蒸发式冷凝器应增设压力表、安全阀及风机故障报警装置。</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冷凝器、贮液器、低压循环桶、中间冷却器等制冷辅助设备上应设置安全阀。</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氨制冷系统安全阀的泄压管出口应高于周围50m范围内最高建筑物（冷库除外）的屋脊5m，并应采取防止雷击、防止雨水和杂物落入泄压管内的措施，不能满足上述要求时，泄压管排出的氨气应做无害化处理。</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对于配置氨泄漏事故紧急处置装置的氨制冷系统,系统内所有液体容积超过0.2m</w:t>
      </w:r>
      <w:r>
        <w:rPr>
          <w:rFonts w:hint="eastAsia" w:ascii="宋体" w:hAnsi="宋体" w:eastAsia="宋体" w:cs="宋体"/>
          <w:sz w:val="28"/>
          <w:szCs w:val="28"/>
          <w:vertAlign w:val="superscript"/>
        </w:rPr>
        <w:t>3</w:t>
      </w:r>
      <w:r>
        <w:rPr>
          <w:rFonts w:hint="eastAsia" w:ascii="宋体" w:hAnsi="宋体" w:eastAsia="宋体" w:cs="宋体"/>
          <w:sz w:val="28"/>
          <w:szCs w:val="28"/>
        </w:rPr>
        <w:t>的设备和(或)管段内的氨液都应能通过紧急泄氨管排入吸纳水池(水箱)或紧急回收装置,吸纳水池(水箱)的氨液吸纳量或回收装置的氨液回收量不应小于制冷系统内的氨液充注量,并应能在泄漏事故发生时立即启动人工或自动装置紧急处置。</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分离器、低压循环桶、低压储液器、中间冷却器和满液式经济器应设置液位指示器和液位控制、报警装置。贮液器应设液位指示器。</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制冷压缩机的高压排气管道和制冷剂泵出液口，均应设置止回阀。</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冷凝器与贮液器之间应设均压管。两台以上贮液器之间应分别设其气体均压管、液体平衡管（阀）。</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制冷剂液面指示器进出口应设置自动闭塞装置。</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在强制供液制冷系统中，泵的出口侧应设置自动旁通阀。</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快速冻结装置应设置在单独的作业间内，作业间应结构完整，且作业间内同一时间作业人员人数不应超过9人。安装有氨制冷快速冻结装置的作业间内应设置防爆型事故排风机及氨气浓度报警装置。</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包装间、分割间、产品整理间等人员较多的生产场所的空调系统不应采用氨直接蒸发制冷系统。</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涉氨企业应至少配备两套正压式空气呼吸器、长管式防毒面具、重型防护服等防护器具；液氨储存区应备有泄漏应急处理设备，液氨储罐上方宜设置水喷淋系统，并选用开式喷头，开式喷头保护面积按液氨储罐占地面积确定。</w:t>
      </w:r>
    </w:p>
    <w:p>
      <w:pPr>
        <w:keepNext/>
        <w:numPr>
          <w:ilvl w:val="1"/>
          <w:numId w:val="1"/>
        </w:numPr>
        <w:snapToGrid w:val="0"/>
        <w:spacing w:before="187" w:after="187"/>
        <w:ind w:left="993" w:hanging="352"/>
        <w:outlineLvl w:val="1"/>
        <w:rPr>
          <w:rFonts w:ascii="黑体" w:hAnsi="黑体" w:eastAsia="黑体"/>
          <w:sz w:val="28"/>
          <w:szCs w:val="28"/>
        </w:rPr>
      </w:pPr>
      <w:bookmarkStart w:id="17" w:name="_Toc85809987"/>
      <w:r>
        <w:rPr>
          <w:rFonts w:hint="eastAsia" w:ascii="黑体" w:hAnsi="黑体" w:eastAsia="黑体"/>
          <w:sz w:val="28"/>
          <w:szCs w:val="28"/>
        </w:rPr>
        <w:t>喷涂企业管理要求</w:t>
      </w:r>
      <w:bookmarkEnd w:id="17"/>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不得使用淘汰的化学品（如含苯涂料和稀释剂等）和淘汰的工艺（如火焰法除旧漆等）进行喷涂作业。因特殊工艺要求不得不选用时，应向当地主管部门申请报告并得到批准，报告内容包括安全评价和防护措施。</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喷漆室、调漆室、烘干室和油漆（溶剂）仓库（中间仓库）内严禁设置人员办公室、休息室。喷漆室应设有机械通风和漆雾净化装置。</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油漆喷涂作业场所的厂房一般采用单层建筑或独立厂房。如布置在多层建筑物内，宜布置在建筑物上层。如布置在多跨厂房内，宜布置在外边跨或同跨的顶端。喷涂作业场所、烘房与周边作业区的隔墙不得使用非阻燃材料，与相邻车间之间的隔墙应为不燃烧体的实体墙，隔墙上的门亦应是不燃烧体。</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油漆喷涂作业场所作为单独一个防火分区时，应设不少于2个安全出口，设置常闭式防火门并应向外开，且保持畅通。喷涂作业场所的门应向外开，其内部的通道宽度应不小于1.2m。疏散通道不得被占用。</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喷涂作业场所、油漆（溶剂）仓库（中间仓库）内不得进行调漆和油漆（溶剂）分（换）装等作业。</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进入烘干室的涂漆工件不得有余漆滴落。</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自然干燥的涂漆工件应放在通风良好的场所。如放在室内，应设专用室存放；如放在室外，周围5m范围内不得有明火或火花。</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喷涂作业中不得使用无导静电性能的塑料容器、管道和油抽等设备设施。</w:t>
      </w:r>
    </w:p>
    <w:p>
      <w:pPr>
        <w:keepNext/>
        <w:numPr>
          <w:ilvl w:val="1"/>
          <w:numId w:val="1"/>
        </w:numPr>
        <w:snapToGrid w:val="0"/>
        <w:spacing w:before="187" w:after="187"/>
        <w:ind w:left="993" w:hanging="352"/>
        <w:outlineLvl w:val="1"/>
        <w:rPr>
          <w:rFonts w:ascii="黑体" w:hAnsi="黑体" w:eastAsia="黑体"/>
          <w:sz w:val="28"/>
          <w:szCs w:val="28"/>
        </w:rPr>
      </w:pPr>
      <w:bookmarkStart w:id="18" w:name="_Toc85809988"/>
      <w:r>
        <w:rPr>
          <w:rFonts w:hint="eastAsia" w:ascii="黑体" w:hAnsi="黑体" w:eastAsia="黑体"/>
          <w:sz w:val="28"/>
          <w:szCs w:val="28"/>
        </w:rPr>
        <w:t>电镀企业管理要求</w:t>
      </w:r>
      <w:bookmarkEnd w:id="18"/>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通风装置的设置应根据有害物的特性和散发规律，工艺设备的结构及其操作特点，合理地确定排风罩的型式和安装方式，在不影响生产操作的情况下尽可能设置密闭排风罩，保证在排风口处具有7m/s～10m/s的风速。</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生产过程中的排风系统设置应遵循的原则如下：</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——各类槽子与喷砂机的排风不能合并；</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——严禁氰化物槽与酸槽的排风合并，而氰化物槽与碱槽的排风可以合并；</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——铬酸槽、硝酸槽的排风应各自单独设置；</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——有机溶剂除油槽不能与其他槽体的排风合并，应设置单独的排风系统并考虑防火防爆措施。</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排风口应设置缓冲装置，气体不可直接排出，风管顶部应有帽盖，且排风口应高于屋面5m。</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工艺槽有害气体的排风管应采用防腐材料制作，弱碱槽和热水槽的排风系统的户外管段也可采用镀锌薄钢板。</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排风总管应有不小于0.005的排水坡度，并在风管的最低点和通风机的底部采取排水措施，如果排出的液体有毒，应排入相应的废水池，并进一步加以处理。</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氰化槽和有机溶剂槽的排风系统，其风管的正压段不应穿过其它房间。</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通风机与风管连接时，要使空气在进出风机时尽可能均匀一致，不要有方向或速度的突然变化。</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溶剂除油操作安全：</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——工件清洗现场的防静电应符合《防止静电事故通用导则》的要求。</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——工件清洗现场，溶剂存放量不应超过半班次的使用量。</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——工件清洗现场应在单独的场所，室内严禁明火及其他火种。</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——工件清洗地点应避免阳光直接照射，盛放溶剂的容器应加盖，且溶剂量不应超过容器体积的2/3。</w:t>
      </w:r>
    </w:p>
    <w:p>
      <w:pPr>
        <w:snapToGrid w:val="0"/>
        <w:spacing w:line="360" w:lineRule="auto"/>
        <w:ind w:firstLine="560" w:firstLineChars="200"/>
        <w:jc w:val="left"/>
        <w:rPr>
          <w:rFonts w:ascii="仿宋" w:hAnsi="仿宋" w:eastAsia="仿宋"/>
          <w:sz w:val="28"/>
          <w:szCs w:val="28"/>
        </w:rPr>
      </w:pPr>
      <w:r>
        <w:rPr>
          <w:rFonts w:hint="eastAsia" w:ascii="宋体" w:hAnsi="宋体" w:eastAsia="宋体" w:cs="宋体"/>
          <w:sz w:val="28"/>
          <w:szCs w:val="28"/>
        </w:rPr>
        <w:t>——工件应以干燥状态进行工序操作</w:t>
      </w:r>
      <w:r>
        <w:rPr>
          <w:rFonts w:ascii="仿宋" w:hAnsi="仿宋" w:eastAsia="仿宋"/>
          <w:sz w:val="28"/>
          <w:szCs w:val="28"/>
        </w:rPr>
        <w:t>。</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碱性除油操作安全：</w:t>
      </w:r>
    </w:p>
    <w:p>
      <w:pPr>
        <w:snapToGrid w:val="0"/>
        <w:spacing w:line="360" w:lineRule="auto"/>
        <w:ind w:firstLine="560" w:firstLineChars="200"/>
        <w:jc w:val="left"/>
        <w:rPr>
          <w:rFonts w:ascii="宋体" w:hAnsi="宋体" w:eastAsia="宋体" w:cs="宋体"/>
          <w:sz w:val="28"/>
          <w:szCs w:val="28"/>
        </w:rPr>
      </w:pPr>
      <w:r>
        <w:rPr>
          <w:rFonts w:ascii="仿宋" w:hAnsi="仿宋" w:eastAsia="仿宋"/>
          <w:sz w:val="28"/>
          <w:szCs w:val="28"/>
        </w:rPr>
        <w:t>——</w:t>
      </w:r>
      <w:r>
        <w:rPr>
          <w:rFonts w:hint="eastAsia" w:ascii="宋体" w:hAnsi="宋体" w:eastAsia="宋体" w:cs="宋体"/>
          <w:sz w:val="28"/>
          <w:szCs w:val="28"/>
        </w:rPr>
        <w:t>工件挂入碱性槽液时，应使用专用工具，不应用手操作。</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——用铁丝筐装工件除油时，工件不应高于篮筐高度的2/3。</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——手工操作电解除油处理时，放入工件时，应先将电源关闭，放好挂具后，再开电源；取出工件时，应先将电源关闭后，再取出挂件。</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——定期清除槽液上的薄层泡沫，以防爆炸。</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——添加氢氧化钠时，应将成块的氢氧化钠破碎后装在铁丝筐中，然后放入冷水中溶解后再添加入槽。</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侵蚀处理操作安全：</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——操作过程中应严格控制化学反应所产生的温升。</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酸、碱液操作安全：</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——搬运酸液或碱液前，应检查外包装是否完整。</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——酸液或碱液的运输和使用应采用专用设备。</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——配制或稀释酸液时，应使用冷水，不应用热水。</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氰化电镀操作安全：</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——应定期检查通风系统运行是否正常。在操作前，应打开通风设备通风15min以上，通风机出现故障，应停止操作。</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——所有氰化槽应尽量远离酸槽，镀前侵蚀工序后，工件尤其是形状复杂的工件应清洗干净，防止将酸带入槽内形成剧毒氰化氢气体；氰化镀后的清洗槽应为专用槽。</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——采用蒸汽加热系统的含氰化合物的槽体（包括清洗槽），其尾气管路不应和其他非工业用途的蒸汽管路连通。</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——清洗阳极板时，应使用冲洗，不应用擦干处理。阳极棒和阴极棒不应采用酸直接清洗方法，宜将极棒取下后清洗。</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——掉入槽内的工件不应用手捞出，而应使用专用工具。</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——所有称量、运输氰化物的应为专用器具，并应在明显处标注剧毒标记，称量应在通风良好的条件下进行。</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——存放氰化物或含氰液的场地，应通风良好，氰化物或含氰液不应与酸摆放在一起。</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——所有已使用过的工具及仪器，用后宜用5%绿矾（FeSO</w:t>
      </w:r>
      <w:r>
        <w:rPr>
          <w:rFonts w:ascii="宋体" w:hAnsi="宋体" w:eastAsia="宋体" w:cs="宋体"/>
          <w:sz w:val="28"/>
          <w:szCs w:val="28"/>
          <w:vertAlign w:val="subscript"/>
        </w:rPr>
        <w:t>4</w:t>
      </w:r>
      <w:r>
        <w:rPr>
          <w:rFonts w:hint="eastAsia" w:ascii="宋体" w:hAnsi="宋体" w:eastAsia="宋体" w:cs="宋体"/>
          <w:sz w:val="28"/>
          <w:szCs w:val="28"/>
        </w:rPr>
        <w:t>·7H</w:t>
      </w:r>
      <w:r>
        <w:rPr>
          <w:rFonts w:hint="eastAsia" w:ascii="宋体" w:hAnsi="宋体" w:eastAsia="宋体" w:cs="宋体"/>
          <w:sz w:val="28"/>
          <w:szCs w:val="28"/>
          <w:vertAlign w:val="subscript"/>
        </w:rPr>
        <w:t>2</w:t>
      </w:r>
      <w:r>
        <w:rPr>
          <w:rFonts w:hint="eastAsia" w:ascii="宋体" w:hAnsi="宋体" w:eastAsia="宋体" w:cs="宋体"/>
          <w:sz w:val="28"/>
          <w:szCs w:val="28"/>
        </w:rPr>
        <w:t>O）的溶液进行消毒。</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——存放剧毒品、毒品、腐蚀试剂的包装袋、玻璃器皿等用完料后，应专人妥善保管、集中销毁。</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槽液配置安全操作：</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——镀液的配置和调整，应严格按照工艺要求操作，由专门操作人员在技术人员指导下进行。</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——槽液混合作业时，添加槽液应缓慢加入，同时进行充分搅拌。</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——配置溶液时，应在通风条件良好的地方进行。</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——在进行药品溶解操作时，易产生溶解热的化学药品应在耐热玻璃器皿内溶解。</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——镀液配置和调整时，一般将固体化学药品在槽外溶解后再慢慢加入槽内，不应将固体化学药品直接投入槽液中。</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——氢氟酸不应置于玻璃器皿内，以防止玻璃被腐蚀而造成事故。</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——不应用浓酸、浓碱直接加入槽液调整其pH值。</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其他安全操作：</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——在化学镀镍操作中，操作者应穿戴耐热耐酸耐碱手套；化学镀镍的废槽液应有集中处理措施。</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——在化学镀铜操作中，采用银盐活化工艺的，银盐活化液的储存容器不能封闭太严，以防爆炸。</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——在有使用水合肼的槽液操作中，因其易挥发、有毒，应加强通风，防止槽液接触皮肤。</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——采用手工操作时，镀件入槽要轻，出槽要慢，要防止槽液飞溅伤人。</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操作人员应穿戴好防护用品再进入电镀操作岗位。在有毒气体可能逸出的场所，所有电镀操作人员应穿戴防护工作服、胶靴、手套；溶液配置或调整、运输和使用酸碱溶液等场所，操作人员应戴长胶裙、护目镜和乳胶手套；在设备维护时，清洗阳极板时应戴耐酸耐碱手套，并防止极板的金属毛刺和碎片刺伤皮肤。所穿戴的防护用品不应穿离工作场所。</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——操作人员暂时离开电镀生产岗位时，应充分洗涤手部、面部、漱口、更衣；特别是接触氰化等剧毒品的，应进行消毒处理；每班生产结束之后，应沐浴更衣。</w:t>
      </w:r>
    </w:p>
    <w:p>
      <w:pPr>
        <w:keepNext/>
        <w:numPr>
          <w:ilvl w:val="1"/>
          <w:numId w:val="1"/>
        </w:numPr>
        <w:snapToGrid w:val="0"/>
        <w:spacing w:before="187" w:after="187"/>
        <w:ind w:left="993" w:hanging="352"/>
        <w:outlineLvl w:val="1"/>
        <w:rPr>
          <w:rFonts w:ascii="黑体" w:hAnsi="黑体" w:eastAsia="黑体"/>
          <w:sz w:val="28"/>
          <w:szCs w:val="28"/>
        </w:rPr>
      </w:pPr>
      <w:bookmarkStart w:id="19" w:name="_Toc85809989"/>
      <w:r>
        <w:rPr>
          <w:rFonts w:hint="eastAsia" w:ascii="黑体" w:hAnsi="黑体" w:eastAsia="黑体"/>
          <w:sz w:val="28"/>
          <w:szCs w:val="28"/>
        </w:rPr>
        <w:t>印染企业管理要求</w:t>
      </w:r>
      <w:bookmarkEnd w:id="19"/>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原材料和生产成品应存放在堆场或仓库内。原料、成品仓库或堆场与烟囱、明火作业场所的距离不得小于30m；烟囱高度超过30m，其间距应按烟囱高度计算。</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漂白剂储存仓库、设施应达到国家安全技术标准规定，应设置明显标志和安全防护区域。</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应设置建筑防火防爆分隔和遮挡强光、机械通风等设施，相抵触的或发生化学反应的物质应分开存放，切忌混储，防止包装及容器损坏。</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纱、线、织物加工的烧毛、开幅、烘干等热定型工艺的汽化室、燃气贮罐、储油罐、热媒炉等未与生产加工、人员密集场所明确分开或单独设置。</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保险粉、双氧水、亚氯酸钠、雕白粉(吊白块)等危险品禁止与禁忌物料混合贮存。</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生化处理或者物化处理的处理池应当采用钢筋混凝土材料或者防酸碱耐腐蚀的材料。</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各类酸、碱、氧化剂、还原剂、染化料等贮存槽、池和污水处理等处的平台、栏杆及栅栏应当采用防酸碱耐腐蚀的材料，符合防坠落、防跌滑等安全要求。并定期做好检查、维修和保养。</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使用、贮存酸、碱、氧化剂、还原剂等腐蚀性的印染及整理专用设备、容器、管道必须完整无损，防范有效。贮存管口必须防腐、加盖、上锁，安全标志应齐全、醒目。</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车间应当设置排水、防水措施，地面应具有向排水沟或者有地漏的坡度。溢水多的印染及整理专用设备位于楼层时，设备下部应设集水盘。</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专用设备的电缆、电气动力配线和照明电线应当使用线槽或者线管架空设置。电气设备、装置和移动电具等应当具有防水、防潮、防触电和漏电保护装置，并有效接地。</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烧毛、开幅，烘干等定型工艺的汽化室、燃气贮罐、储油罐、热媒炉等应与生产加工、人员密集场所分开或者单独设置。</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在有爆炸危险的厂房内，应采用防爆型设备通风，风道宜按楼层分别设置；不同火灾危险类别的生产厂房送排风设备不应设在同一机房内。</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排出容易引起火灾或爆炸危险的可燃气体、可燃粉尘的场所，应避免直接采用排风，宜采用带有喷淋装置的通风设备。</w:t>
      </w:r>
    </w:p>
    <w:p>
      <w:pPr>
        <w:keepNext/>
        <w:numPr>
          <w:ilvl w:val="1"/>
          <w:numId w:val="1"/>
        </w:numPr>
        <w:snapToGrid w:val="0"/>
        <w:spacing w:before="187" w:after="187"/>
        <w:ind w:left="993" w:hanging="352"/>
        <w:outlineLvl w:val="1"/>
        <w:rPr>
          <w:rFonts w:ascii="黑体" w:hAnsi="黑体" w:eastAsia="黑体"/>
          <w:sz w:val="28"/>
          <w:szCs w:val="28"/>
        </w:rPr>
      </w:pPr>
      <w:bookmarkStart w:id="20" w:name="_Toc85809990"/>
      <w:r>
        <w:rPr>
          <w:rFonts w:hint="eastAsia" w:ascii="黑体" w:hAnsi="黑体" w:eastAsia="黑体"/>
          <w:sz w:val="28"/>
          <w:szCs w:val="28"/>
        </w:rPr>
        <w:t>涂布（涂层）企业管理要求</w:t>
      </w:r>
      <w:bookmarkEnd w:id="20"/>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涂布车间、物料仓库等场所的爆炸危险区域应规范划分，爆炸危险区域内的布线和所用设备应符合该区域的防火防爆要求。</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涂布车间、烘干室等的所有导电部件、排气管、涂布设备、被涂布的工件、供胶容器及输胶管路均应可靠接地，电气设备外壳必须接地，并定期进行检测。应严格控制涂布车间、调胶房的温湿度。</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供胶系统应放置在涂布间外，单独隔离，并满足《建筑设计防火规范》的规定。</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烘干室的相关烘干设备符合《烘干设备安全性能检测方法》的规定。</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烘干室应保证良好的通风，防止易燃易爆气体积聚。</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涂布车间、烘干室等的废气净化装置应符合《涂装作业安全规程 有机废气净化装置安全技术规定》要求；排气筒的防雷措施应符合《建筑物防雷设计规范》的规定。</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涂布车间、烘干室、物料仓库内涉及易燃易爆有毒有害物料的场所，根据规范要求设置气体浓度检测报警装置，将信号引入有人值守的控制室，并进行现场声光报警。</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涂布车间、物料仓库应设立防火标志，应禁止明火取热。</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溶胶釜等涂布设备操作人员应按设备技术与维护要求，做好日常检查工作。检查内容主要包括以下方面：</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——通风系统运行是否正常。</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——设备外部是否有外力损伤或变形。</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——设备、管路连接是否松动。</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——自动联锁控制和信号、报警装置是否完整有效。</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——防爆电气设备及防爆照明灯具是否完整与运行正常。</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——胶垢、粉尘及现场杂物等是否及时清除。</w:t>
      </w:r>
    </w:p>
    <w:p>
      <w:pPr>
        <w:keepNext/>
        <w:numPr>
          <w:ilvl w:val="1"/>
          <w:numId w:val="1"/>
        </w:numPr>
        <w:snapToGrid w:val="0"/>
        <w:spacing w:before="187" w:after="187"/>
        <w:ind w:left="993" w:hanging="352"/>
        <w:outlineLvl w:val="1"/>
        <w:rPr>
          <w:rFonts w:ascii="黑体" w:hAnsi="黑体" w:eastAsia="黑体"/>
          <w:sz w:val="28"/>
          <w:szCs w:val="28"/>
        </w:rPr>
      </w:pPr>
      <w:bookmarkStart w:id="21" w:name="_Toc85809991"/>
      <w:r>
        <w:rPr>
          <w:rFonts w:hint="eastAsia" w:ascii="黑体" w:hAnsi="黑体" w:eastAsia="黑体"/>
          <w:sz w:val="28"/>
          <w:szCs w:val="28"/>
        </w:rPr>
        <w:t>真空镀膜（化学气相沉积法）企业管理要求</w:t>
      </w:r>
      <w:bookmarkEnd w:id="21"/>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供气间等场所的爆炸危险区域应按照《爆炸危险环境电力装置设计规范》的规定划分，在此区域内的布线和所用设备应符合该区域的防火防爆要求。</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供气间等属于易燃易爆场所的入口应设置人体静电导除设施。与易燃物料有关的沉积槽等设备设施应进行静电接地，并定期进行检测。</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车间设计送排风时，排风系统的风管要布置在产生或接近危险气源的位置，如全自动特气柜等位置。</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送风方式一般采用顶部送风，排风方式有底部排风顶部排风及上下同时排风三种。根据全面通风的气流组织方式，最好采用上下同时排风。若发生火灾，供风、排风系统的空调和整个生产系统都应该停止工作，送排风系统管路穿越防火区时要安装防火阀。排风管的防雷措施应符合《建筑物防雷设计规范》的规定。</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涉及易燃易爆有毒有害物料的场所，根据规范要求设置气体浓度检测报警装置，将信号引入有人值守的控制室，并进行现场声光报警。</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作业场所应规范配置消防设施和火灾报警联动控制系统。报警系统和消防系统进行连锁，接到消防系统的火警信号时，根据火警信号的来源不同，采取相应的动作。</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化学沉积气相镀膜车间、供气间设备设施（如沉积槽）操作人员应按设备技术与维护要求，做好日常检查工作。检查内容主要包括以下方面：</w:t>
      </w:r>
    </w:p>
    <w:p>
      <w:pPr>
        <w:snapToGrid w:val="0"/>
        <w:spacing w:line="360" w:lineRule="auto"/>
        <w:ind w:left="479" w:leftChars="228"/>
        <w:rPr>
          <w:rFonts w:ascii="宋体" w:hAnsi="宋体" w:eastAsia="宋体" w:cs="宋体"/>
          <w:sz w:val="28"/>
          <w:szCs w:val="28"/>
        </w:rPr>
      </w:pPr>
      <w:r>
        <w:rPr>
          <w:rFonts w:hint="eastAsia" w:ascii="宋体" w:hAnsi="宋体" w:eastAsia="宋体" w:cs="宋体"/>
          <w:sz w:val="28"/>
          <w:szCs w:val="28"/>
        </w:rPr>
        <w:t>——通风系统运行是否正常。</w:t>
      </w:r>
    </w:p>
    <w:p>
      <w:pPr>
        <w:snapToGrid w:val="0"/>
        <w:spacing w:line="360" w:lineRule="auto"/>
        <w:ind w:left="479" w:leftChars="228"/>
        <w:rPr>
          <w:rFonts w:ascii="宋体" w:hAnsi="宋体" w:eastAsia="宋体" w:cs="宋体"/>
          <w:sz w:val="28"/>
          <w:szCs w:val="28"/>
        </w:rPr>
      </w:pPr>
      <w:r>
        <w:rPr>
          <w:rFonts w:hint="eastAsia" w:ascii="宋体" w:hAnsi="宋体" w:eastAsia="宋体" w:cs="宋体"/>
          <w:sz w:val="28"/>
          <w:szCs w:val="28"/>
        </w:rPr>
        <w:t>——设备外部是否有外力损伤或变形。</w:t>
      </w:r>
    </w:p>
    <w:p>
      <w:pPr>
        <w:snapToGrid w:val="0"/>
        <w:spacing w:line="360" w:lineRule="auto"/>
        <w:ind w:left="479" w:leftChars="228"/>
        <w:rPr>
          <w:rFonts w:ascii="宋体" w:hAnsi="宋体" w:eastAsia="宋体" w:cs="宋体"/>
          <w:sz w:val="28"/>
          <w:szCs w:val="28"/>
        </w:rPr>
      </w:pPr>
      <w:r>
        <w:rPr>
          <w:rFonts w:hint="eastAsia" w:ascii="宋体" w:hAnsi="宋体" w:eastAsia="宋体" w:cs="宋体"/>
          <w:sz w:val="28"/>
          <w:szCs w:val="28"/>
        </w:rPr>
        <w:t>——设备、管路连接是否松动。</w:t>
      </w:r>
    </w:p>
    <w:p>
      <w:pPr>
        <w:snapToGrid w:val="0"/>
        <w:spacing w:line="360" w:lineRule="auto"/>
        <w:ind w:left="479" w:leftChars="228"/>
        <w:rPr>
          <w:rFonts w:ascii="宋体" w:hAnsi="宋体" w:eastAsia="宋体" w:cs="宋体"/>
          <w:sz w:val="28"/>
          <w:szCs w:val="28"/>
        </w:rPr>
      </w:pPr>
      <w:r>
        <w:rPr>
          <w:rFonts w:hint="eastAsia" w:ascii="宋体" w:hAnsi="宋体" w:eastAsia="宋体" w:cs="宋体"/>
          <w:sz w:val="28"/>
          <w:szCs w:val="28"/>
        </w:rPr>
        <w:t>——自动联锁控制和信号、报警装置是否完整有效。</w:t>
      </w:r>
    </w:p>
    <w:p>
      <w:pPr>
        <w:snapToGrid w:val="0"/>
        <w:spacing w:line="360" w:lineRule="auto"/>
        <w:ind w:left="479" w:leftChars="228"/>
        <w:rPr>
          <w:rFonts w:ascii="宋体" w:hAnsi="宋体" w:eastAsia="宋体" w:cs="宋体"/>
          <w:sz w:val="28"/>
          <w:szCs w:val="28"/>
        </w:rPr>
      </w:pPr>
      <w:r>
        <w:rPr>
          <w:rFonts w:hint="eastAsia" w:ascii="宋体" w:hAnsi="宋体" w:eastAsia="宋体" w:cs="宋体"/>
          <w:sz w:val="28"/>
          <w:szCs w:val="28"/>
        </w:rPr>
        <w:t>——防爆电气设备及防爆照明灯具是否完整与运行正常。</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化学沉积气相镀膜车间、供气间内的压力管道、压力容器等特种设备应符合国家相关规定，定期检验检测。</w:t>
      </w:r>
    </w:p>
    <w:p>
      <w:pPr>
        <w:keepNext/>
        <w:numPr>
          <w:ilvl w:val="1"/>
          <w:numId w:val="1"/>
        </w:numPr>
        <w:snapToGrid w:val="0"/>
        <w:spacing w:before="187" w:after="187"/>
        <w:ind w:left="993" w:hanging="352"/>
        <w:outlineLvl w:val="1"/>
        <w:rPr>
          <w:rFonts w:ascii="黑体" w:hAnsi="黑体" w:eastAsia="黑体"/>
          <w:sz w:val="28"/>
          <w:szCs w:val="28"/>
        </w:rPr>
      </w:pPr>
      <w:bookmarkStart w:id="22" w:name="_Toc85809992"/>
      <w:r>
        <w:rPr>
          <w:rFonts w:hint="eastAsia" w:ascii="黑体" w:hAnsi="黑体" w:eastAsia="黑体"/>
          <w:sz w:val="28"/>
          <w:szCs w:val="28"/>
        </w:rPr>
        <w:t>发泡企业管理要求</w:t>
      </w:r>
      <w:bookmarkEnd w:id="22"/>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烃类发泡剂必须贮存在阴凉、通风良好、离火种及热源不小于30m的地方，最高罐温不宜超过30℃，超过其温度采用冷水降温及其它降温措施，防止阳光直射。</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烃类发泡剂贮罐须安装接地装置，贮罐库区必须按照易燃液体贮罐库的要求安装独立式避雷针。环烃类储罐输料泵、输运管道、储罐遮棚构架、预混机、混合料中间料罐、混合料输料泵、混合料输运管道、生产线平台、注料枪头注料工位构架、吊运设备、相关的电控装置和排风装置都必须牢靠接地，模具、模架和输运装置也应尽量接地。所有应接地的设备和设施上的接触电阻较大的法兰连接、压接部位都必须用防静电短接线连接。烃类储罐和输运管道、预混机的接地应采取等电位连接，其他设备和设施的防静电接地电阻值不应大于10Ω。</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烃类发泡剂贮罐仓库保管员要做好贮存统计和贮罐压力记录等。</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烃类发泡剂的输送应使用易燃易爆液体送料专用管。</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通风设备应符合国家防爆电气标准的有关要求并具有国家认可机构颁发的防爆合格证；通风管道应采用防静电的阻燃织物或金属制成，并应良好接地。</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排风系统应遵循“上进新风下排风”的原则，排风口应尽量贴近地面和可能的泄漏点，排风口的下边沿距地面的高度应不超过100mm。围房和相对密闭的房间上部应设置新风入口，如入口位置在危险区工房内，入口高度应高出危险区1.5m以上。</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排风机或通风管道应有检测装置，能显示排风机是否工作正常。排风系统应装置风压开关或风流开关，当排风系统未开动时，不能启动相关设备，当运行中排风系统出现故障时，应报警并延时切断相关电源和停止相关设备的运行。排风机采用双电源切换箱供电切换箱电源分别来自厂房内不同变压器提供的电源回路或者采用备用电源给风机供电。</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注料区和固化炉应设置可靠的排风系统，各排风系统宜相对独立，排风系统应24h处于工作状态。</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储罐区通排风系统可采取下列措施：</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——良好的自然通风；</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——在地罐人孔和卸料入口、输料出口的主要易泄漏环戊烷的位置设置抽排风装置；</w:t>
      </w:r>
    </w:p>
    <w:p>
      <w:pPr>
        <w:snapToGrid w:val="0"/>
        <w:spacing w:line="360" w:lineRule="auto"/>
        <w:ind w:left="479" w:leftChars="228"/>
        <w:rPr>
          <w:rFonts w:ascii="宋体" w:hAnsi="宋体" w:eastAsia="宋体" w:cs="宋体"/>
          <w:sz w:val="28"/>
          <w:szCs w:val="28"/>
        </w:rPr>
      </w:pPr>
      <w:r>
        <w:rPr>
          <w:rFonts w:hint="eastAsia" w:ascii="宋体" w:hAnsi="宋体" w:eastAsia="宋体" w:cs="宋体"/>
          <w:sz w:val="28"/>
          <w:szCs w:val="28"/>
        </w:rPr>
        <w:t>——风机风量的设计需满足排除泄漏气体的需要，确保不会向其他区域扩散或滞留；</w:t>
      </w:r>
    </w:p>
    <w:p>
      <w:pPr>
        <w:snapToGrid w:val="0"/>
        <w:spacing w:line="360" w:lineRule="auto"/>
        <w:ind w:left="479" w:leftChars="228"/>
        <w:rPr>
          <w:rFonts w:ascii="宋体" w:hAnsi="宋体" w:eastAsia="宋体" w:cs="宋体"/>
          <w:sz w:val="28"/>
          <w:szCs w:val="28"/>
        </w:rPr>
      </w:pPr>
      <w:r>
        <w:rPr>
          <w:rFonts w:hint="eastAsia" w:ascii="宋体" w:hAnsi="宋体" w:eastAsia="宋体" w:cs="宋体"/>
          <w:sz w:val="28"/>
          <w:szCs w:val="28"/>
        </w:rPr>
        <w:t>——可采用氮气喷头喷氮的方法来控制可燃气体达到爆炸下限。</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事故通风系统室外排风口应远离火源30m以上，距可能火花溅落地点应大于20m。</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事故排风机设置自动及手动控制，正常时处于自动工作模式。</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事故通风的通风机应分别在室内及靠近外门的外墙上设置电气开关。</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在储罐区、混料区、发泡生产线等可燃气体泄漏可能性较大或泄漏点较为集中的区域，应安装可燃气体探测器。可燃气体检测和报警系统应24h持续工作。可燃气体检测系统中的任何一只探测器检测到可燃气体浓度超标，应能提供报警输出。可燃气体探测器可采用红外光学型和和催化型两种类型，报警误差应小于±5%LEL。所选的探测器必须带有防爆标志以及证书，确保可以满足现场对于防爆等级的要求。</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探测器的安装位置需根据被测气体的密度，周围环境的气流方向，可能的泄漏点等因素，安装在可燃性气体易积聚，具代表性的地点。探测器检测头端面应朝下，离地距离不超过200mm，并应配置防雨(水)防风罩，隔爆片上严禁沾污、涂漆，以免堵塞气体扩散通道。</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安全监控报警系统和排风系统应采用可靠的供电电源：如采用自发电作备用电源或双回路供电等并应尽量采用自动切换装置。报警柜的控制电源应配备不间断供电装置，其容量至少能单独持续供电30min。</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烃类储罐宜设置其他安全监测设施，主要包括：充氮保护装置与压力报警装置、超高、低液位报警装置。</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电控柜、报警柜、照明、风扇等设施应具备相应的防爆等级，并符合《爆炸性环境 第1部分：设备 通用要求》的有关规定，尽量避免设置在1区。电器设备外壳防护等级不低于IP54，控制柜、接线盒、电气接头等必须密封可靠。危险区域的电气系统设计、安装、布线必须符合《爆炸危险环境电力装置设计规范》的有关规定。</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在危险区域内应设置可靠的避雷和消除静电的装置外，还应设置防止着火时相互串通和蔓延的阻火器、回止阀、截止阀等，具体要求应符合《建筑设计防火规范》的有关规定。</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烃类储罐和发泡生产区消火栓的配置及对消防供水的要求应符合《建筑设计防火规范》的有关规定，储存区应设置消火栓，单个消火栓的供水流量不应小于15L/s，供水压力不低于0.15MPa，必要时应增设消防水池、消防水泵等专用消防设施。</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预混站、发泡机、固化炉等危险区域也应配备足量的灭火器和灭火砂，应设置火灾报警装置和灭火装置，并应设立消防通道和安全疏散通道，发生火警时便于灭火抢险和迅速疏散人员。</w:t>
      </w:r>
    </w:p>
    <w:p>
      <w:pPr>
        <w:keepNext/>
        <w:numPr>
          <w:ilvl w:val="1"/>
          <w:numId w:val="1"/>
        </w:numPr>
        <w:snapToGrid w:val="0"/>
        <w:spacing w:before="187" w:after="187"/>
        <w:ind w:left="993" w:hanging="352"/>
        <w:outlineLvl w:val="1"/>
        <w:rPr>
          <w:rFonts w:ascii="黑体" w:hAnsi="黑体" w:eastAsia="黑体"/>
          <w:sz w:val="28"/>
          <w:szCs w:val="28"/>
        </w:rPr>
      </w:pPr>
      <w:bookmarkStart w:id="23" w:name="_Toc85809993"/>
      <w:r>
        <w:rPr>
          <w:rFonts w:ascii="黑体" w:hAnsi="黑体" w:eastAsia="黑体"/>
          <w:sz w:val="28"/>
          <w:szCs w:val="28"/>
        </w:rPr>
        <w:t>环氧乙烷灭菌企业管理要求</w:t>
      </w:r>
      <w:bookmarkEnd w:id="23"/>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环氧乙烷储存储存于阴凉、通风的易燃气体专用库房。库房温度不宜超过30℃。应与酸类、碱类、醇类、食用化学品分开存放，切忌混储。</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储存环氧乙烷的固定式储罐应符合以下要求：</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——环氧乙烷储罐应设置水冷却喷淋装置，并应有充足的水源提供；</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——尽量使操作温度范围在－10℃～20℃；</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——环氧乙烷储罐外保冷材料应采用不燃材料，厚度应根据保冷要求确定，保温外皮不得使用铝皮；</w:t>
      </w:r>
    </w:p>
    <w:p>
      <w:pPr>
        <w:snapToGrid w:val="0"/>
        <w:spacing w:line="360" w:lineRule="auto"/>
        <w:ind w:left="479" w:leftChars="228"/>
        <w:rPr>
          <w:rFonts w:ascii="宋体" w:hAnsi="宋体" w:eastAsia="宋体" w:cs="宋体"/>
          <w:sz w:val="28"/>
          <w:szCs w:val="28"/>
        </w:rPr>
      </w:pPr>
      <w:r>
        <w:rPr>
          <w:rFonts w:hint="eastAsia" w:ascii="宋体" w:hAnsi="宋体" w:eastAsia="宋体" w:cs="宋体"/>
          <w:sz w:val="28"/>
          <w:szCs w:val="28"/>
        </w:rPr>
        <w:t>——储罐的密封垫片应采用聚四氟乙烯材料，禁止使用石棉、橡胶材料。</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环氧乙烷储存、使用场所与其他部位应进行防火分隔，建筑耐火等级、防火间距符合《建筑设计防火规范》规定。</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环氧乙烷储存、使用场所与其他部位应规定防爆区内电气设施防爆等级；在爆炸危险环境内，电气设备的金属外壳应可靠接地。防爆区场所内部安装应按照《电气装置安装工程爆炸和火灾危险环境电气装置施工及验收》的要求施工，如排气源（如风扇）插头插座应防爆，排气罩口应接地。</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环氧乙烷储存、使用的仓库和厂房应按《建筑物防雷设计规范》的规定设置防雷设施，并按规定定期进行防雷检测。</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厂（车间）内的环氧乙烷设备、管道应参照按《化工企业静电接地设计技术规定》要求采取防静电措施，并在避雷保护范围之内。</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含有环氧乙烷的各类管道不宜从仪表控制室和劳动者经常停留或通过的辅助用室的空中和地下通过；若需通过时，应严格密闭，并应具备抗压、耐腐蚀等性能，以防止有害气体逸散至室内。</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若环氧乙烷灭菌器具有排气系统，环氧乙烷机器混合气体应通过排气系统进行无害处理；若环氧乙烷灭菌器本身无排气系统，应设计合适的排气系统以确保灭菌器及房间的环氧乙烷气体进行无害化处理。</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环氧乙烷灭菌系统宜采用充氮保护。</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环氧乙烷储存、灭菌系统应安装环氧乙烷气体检测报警装置，并应按《石油化工可燃气体和有毒气体检测报警设计标准》的要求设置两级报警。二级报警应与喷淋系统联动。</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环氧乙烷灭菌系统应设置压力检测报警装置，并与环氧乙烷管道切断阀联锁。</w:t>
      </w:r>
      <w:bookmarkStart w:id="25" w:name="_GoBack"/>
      <w:bookmarkEnd w:id="25"/>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环氧乙烷灭菌室应设置通风系统，通风气系统应安装报警装置，当检测到排气通风系统故障或者失能时应报警。排气通风系统宜与应急配电系统相连接。环氧乙烷灭菌室还应设置事故风机，事故风机应与气体检测报警器联锁。</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环氧乙烷钢瓶储存区应设置固定消防水喷淋系统，喷淋范围应能满足覆盖所有可能泄露环氧乙烷的钢瓶。</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在环氧乙烷储存和输送过程中，应注意防静电。</w:t>
      </w:r>
    </w:p>
    <w:p>
      <w:pPr>
        <w:keepNext/>
        <w:numPr>
          <w:ilvl w:val="1"/>
          <w:numId w:val="1"/>
        </w:numPr>
        <w:snapToGrid w:val="0"/>
        <w:spacing w:before="187" w:after="187"/>
        <w:ind w:left="993" w:hanging="352"/>
        <w:outlineLvl w:val="1"/>
        <w:rPr>
          <w:rFonts w:ascii="黑体" w:hAnsi="黑体" w:eastAsia="黑体"/>
          <w:sz w:val="28"/>
          <w:szCs w:val="28"/>
        </w:rPr>
      </w:pPr>
      <w:bookmarkStart w:id="24" w:name="_Toc85809994"/>
      <w:r>
        <w:rPr>
          <w:rFonts w:hint="eastAsia" w:ascii="黑体" w:hAnsi="黑体" w:eastAsia="黑体"/>
          <w:sz w:val="28"/>
          <w:szCs w:val="28"/>
        </w:rPr>
        <w:t>使用钢瓶装气体进行焊接、切割等作业的</w:t>
      </w:r>
      <w:r>
        <w:rPr>
          <w:rFonts w:ascii="黑体" w:hAnsi="黑体" w:eastAsia="黑体"/>
          <w:sz w:val="28"/>
          <w:szCs w:val="28"/>
        </w:rPr>
        <w:t>企业管理要求</w:t>
      </w:r>
      <w:bookmarkEnd w:id="24"/>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为了便于识别气瓶内的气体成分，气瓶必须按《气瓶颜色标志》规定做明显标志。其标识必须清晰、不易去除。标识模糊不清的气瓶禁止使用。</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使用乙炔、氢气、天然气、液化石油气等危险化学品气瓶（杜瓦瓶）应按照有关规范要求。保证气瓶相应压力表、减压阀等安全设施的完好；不同气瓶使用软管（管道）要分别不同颜色。</w:t>
      </w:r>
    </w:p>
    <w:p>
      <w:pPr>
        <w:numPr>
          <w:ilvl w:val="2"/>
          <w:numId w:val="1"/>
        </w:numPr>
        <w:snapToGrid w:val="0"/>
        <w:spacing w:line="360" w:lineRule="auto"/>
        <w:ind w:left="-8" w:firstLine="638"/>
        <w:rPr>
          <w:rFonts w:ascii="宋体" w:hAnsi="宋体" w:eastAsia="宋体" w:cs="宋体"/>
          <w:sz w:val="28"/>
          <w:szCs w:val="28"/>
        </w:rPr>
      </w:pPr>
      <w:r>
        <w:rPr>
          <w:rFonts w:ascii="宋体" w:hAnsi="宋体" w:eastAsia="宋体" w:cs="宋体"/>
          <w:sz w:val="28"/>
          <w:szCs w:val="28"/>
        </w:rPr>
        <w:t>乙炔钢瓶附近不得有氧化性物质，不得使用铜质器具；氧气钢瓶附近不得有油脂性物质和还原性物质。</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在气体用量集中的场合可以采用汇流排供气。乙炔气瓶和液化气气瓶必须在直立位置上汇流。与汇流排连接并供气的气瓶，其瓶内的压力应基本相等。</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为了保证作业人员在无害的呼吸氛围内工作，所有焊接、切割要在足够的通风条件下</w:t>
      </w:r>
      <w:r>
        <w:rPr>
          <w:rFonts w:ascii="宋体" w:hAnsi="宋体" w:eastAsia="宋体" w:cs="宋体"/>
          <w:sz w:val="28"/>
          <w:szCs w:val="28"/>
        </w:rPr>
        <w:t>(</w:t>
      </w:r>
      <w:r>
        <w:rPr>
          <w:rFonts w:hint="eastAsia" w:ascii="宋体" w:hAnsi="宋体" w:eastAsia="宋体" w:cs="宋体"/>
          <w:sz w:val="28"/>
          <w:szCs w:val="28"/>
        </w:rPr>
        <w:t>包括自然通风或机械通风</w:t>
      </w:r>
      <w:r>
        <w:rPr>
          <w:rFonts w:ascii="宋体" w:hAnsi="宋体" w:eastAsia="宋体" w:cs="宋体"/>
          <w:sz w:val="28"/>
          <w:szCs w:val="28"/>
        </w:rPr>
        <w:t>)</w:t>
      </w:r>
      <w:r>
        <w:rPr>
          <w:rFonts w:hint="eastAsia" w:ascii="宋体" w:hAnsi="宋体" w:eastAsia="宋体" w:cs="宋体"/>
          <w:sz w:val="28"/>
          <w:szCs w:val="28"/>
        </w:rPr>
        <w:t>进行。</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在封闭空间内实施焊接及切割时，气瓶及焊接电源必须放置在封闭空间的外面。同时使用两种气体进行焊接或切割时，不同气瓶减压器的出口端都应装上各自的单向阀，以防止气流相互倒灌。</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气瓶必须距离实际焊接或切割作业点足够远</w:t>
      </w:r>
      <w:r>
        <w:rPr>
          <w:rFonts w:ascii="宋体" w:hAnsi="宋体" w:eastAsia="宋体" w:cs="宋体"/>
          <w:sz w:val="28"/>
          <w:szCs w:val="28"/>
        </w:rPr>
        <w:t>(</w:t>
      </w:r>
      <w:r>
        <w:rPr>
          <w:rFonts w:hint="eastAsia" w:ascii="宋体" w:hAnsi="宋体" w:eastAsia="宋体" w:cs="宋体"/>
          <w:sz w:val="28"/>
          <w:szCs w:val="28"/>
        </w:rPr>
        <w:t>一般为</w:t>
      </w:r>
      <w:r>
        <w:rPr>
          <w:rFonts w:ascii="宋体" w:hAnsi="宋体" w:eastAsia="宋体" w:cs="宋体"/>
          <w:sz w:val="28"/>
          <w:szCs w:val="28"/>
        </w:rPr>
        <w:t>5m</w:t>
      </w:r>
      <w:r>
        <w:rPr>
          <w:rFonts w:hint="eastAsia" w:ascii="宋体" w:hAnsi="宋体" w:eastAsia="宋体" w:cs="宋体"/>
          <w:sz w:val="28"/>
          <w:szCs w:val="28"/>
        </w:rPr>
        <w:t>以上</w:t>
      </w:r>
      <w:r>
        <w:rPr>
          <w:rFonts w:ascii="宋体" w:hAnsi="宋体" w:eastAsia="宋体" w:cs="宋体"/>
          <w:sz w:val="28"/>
          <w:szCs w:val="28"/>
        </w:rPr>
        <w:t>)</w:t>
      </w:r>
      <w:r>
        <w:rPr>
          <w:rFonts w:hint="eastAsia" w:ascii="宋体" w:hAnsi="宋体" w:eastAsia="宋体" w:cs="宋体"/>
          <w:sz w:val="28"/>
          <w:szCs w:val="28"/>
        </w:rPr>
        <w:t>，以免接触火花、热渣或火焰，否则必须提供耐火屏障。使用氧气、乙炔进行焊接、切割作业时，氧气瓶与乙炔瓶之间间距不应小于5m，二者与动火作业地点不应小于10m。</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在焊接、切割等动火期间距动火点3</w:t>
      </w:r>
      <w:r>
        <w:rPr>
          <w:rFonts w:ascii="宋体" w:hAnsi="宋体" w:eastAsia="宋体" w:cs="宋体"/>
          <w:sz w:val="28"/>
          <w:szCs w:val="28"/>
        </w:rPr>
        <w:t>0</w:t>
      </w:r>
      <w:r>
        <w:rPr>
          <w:rFonts w:hint="eastAsia" w:ascii="宋体" w:hAnsi="宋体" w:eastAsia="宋体" w:cs="宋体"/>
          <w:sz w:val="28"/>
          <w:szCs w:val="28"/>
        </w:rPr>
        <w:t>m内不应排放可燃气体；距动火点15m内不应排放可燃液体；在动火点10m范围内及动火点下方不应同时进行可燃溶剂清洗或喷漆等作业。</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在进行焊接及切割操作的地方必须配置足够的灭火设备。</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当气瓶泄漏无法阻止时，应将燃气瓶移至室外，远离所有起火源，并做相应的警告通知。缓缓打开气瓶阀，逐渐释放内存的气体。气瓶泄漏导致的起火可通过关闭瓶阀，采用水、湿布、灭火器等手段予以熄灭。在气瓶起火无法通过上述手段熄灭的情况下，必须将该区域做疏散，并用大量水流浇湿气瓶，使其保持冷却。</w:t>
      </w:r>
    </w:p>
    <w:p>
      <w:pPr>
        <w:numPr>
          <w:ilvl w:val="2"/>
          <w:numId w:val="1"/>
        </w:numPr>
        <w:snapToGrid w:val="0"/>
        <w:spacing w:line="360" w:lineRule="auto"/>
        <w:ind w:left="-8" w:firstLine="638"/>
        <w:rPr>
          <w:rFonts w:ascii="宋体" w:hAnsi="宋体" w:eastAsia="宋体" w:cs="宋体"/>
          <w:sz w:val="28"/>
          <w:szCs w:val="28"/>
        </w:rPr>
      </w:pPr>
      <w:r>
        <w:rPr>
          <w:rFonts w:hint="eastAsia" w:ascii="宋体" w:hAnsi="宋体" w:eastAsia="宋体" w:cs="宋体"/>
          <w:sz w:val="28"/>
          <w:szCs w:val="28"/>
        </w:rPr>
        <w:t>焊接及切割应在为减少火灾隐患而设计、建造</w:t>
      </w:r>
      <w:r>
        <w:rPr>
          <w:rFonts w:ascii="宋体" w:hAnsi="宋体" w:eastAsia="宋体" w:cs="宋体"/>
          <w:sz w:val="28"/>
          <w:szCs w:val="28"/>
        </w:rPr>
        <w:t>(</w:t>
      </w:r>
      <w:r>
        <w:rPr>
          <w:rFonts w:hint="eastAsia" w:ascii="宋体" w:hAnsi="宋体" w:eastAsia="宋体" w:cs="宋体"/>
          <w:sz w:val="28"/>
          <w:szCs w:val="28"/>
        </w:rPr>
        <w:t>或特殊指定</w:t>
      </w:r>
      <w:r>
        <w:rPr>
          <w:rFonts w:ascii="宋体" w:hAnsi="宋体" w:eastAsia="宋体" w:cs="宋体"/>
          <w:sz w:val="28"/>
          <w:szCs w:val="28"/>
        </w:rPr>
        <w:t>)</w:t>
      </w:r>
      <w:r>
        <w:rPr>
          <w:rFonts w:hint="eastAsia" w:ascii="宋体" w:hAnsi="宋体" w:eastAsia="宋体" w:cs="宋体"/>
          <w:sz w:val="28"/>
          <w:szCs w:val="28"/>
        </w:rPr>
        <w:t>的区域内进行。因特殊原因需要在非指定的区域内进行焊接或切割操作时，必须经检查、核准，确保该区域无火灾隐患的条件。</w:t>
      </w:r>
    </w:p>
    <w:p>
      <w:pPr>
        <w:snapToGrid w:val="0"/>
        <w:spacing w:before="225" w:line="450" w:lineRule="atLeast"/>
        <w:ind w:firstLine="482"/>
        <w:jc w:val="left"/>
        <w:rPr>
          <w:rFonts w:ascii="宋体" w:hAnsi="宋体" w:eastAsia="宋体" w:cs="宋体"/>
          <w:sz w:val="28"/>
          <w:szCs w:val="28"/>
        </w:rPr>
      </w:pPr>
    </w:p>
    <w:p>
      <w:pPr>
        <w:snapToGrid w:val="0"/>
        <w:spacing w:before="225" w:line="450" w:lineRule="atLeast"/>
        <w:ind w:firstLine="482"/>
        <w:jc w:val="left"/>
        <w:rPr>
          <w:rFonts w:ascii="宋体" w:hAnsi="宋体" w:eastAsia="宋体" w:cs="宋体"/>
          <w:sz w:val="28"/>
          <w:szCs w:val="28"/>
        </w:rPr>
      </w:pPr>
    </w:p>
    <w:sectPr>
      <w:footerReference r:id="rId6" w:type="default"/>
      <w:pgSz w:w="12240" w:h="15840"/>
      <w:pgMar w:top="1417" w:right="1417" w:bottom="1417" w:left="1417" w:header="851" w:footer="85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宋体" w:hAnsi="宋体" w:eastAsia="宋体"/>
        <w:color w:val="00000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宋体" w:hAnsi="宋体" w:eastAsia="宋体"/>
        <w:color w:val="000000"/>
        <w:sz w:val="24"/>
        <w:szCs w:val="24"/>
      </w:rPr>
    </w:pPr>
    <w:r>
      <w:rPr>
        <w:sz w:val="24"/>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jc w:val="center"/>
                </w:pPr>
                <w:r>
                  <w:rPr>
                    <w:rFonts w:ascii="宋体" w:hAnsi="宋体" w:eastAsia="宋体"/>
                    <w:color w:val="000000"/>
                    <w:sz w:val="24"/>
                    <w:szCs w:val="24"/>
                  </w:rPr>
                  <w:fldChar w:fldCharType="begin"/>
                </w:r>
                <w:r>
                  <w:rPr>
                    <w:rFonts w:ascii="宋体" w:hAnsi="宋体" w:eastAsia="宋体"/>
                    <w:color w:val="000000"/>
                    <w:sz w:val="24"/>
                    <w:szCs w:val="24"/>
                  </w:rPr>
                  <w:instrText xml:space="preserve">PAGE   \* MERGEFORMAT</w:instrText>
                </w:r>
                <w:r>
                  <w:rPr>
                    <w:rFonts w:ascii="宋体" w:hAnsi="宋体" w:eastAsia="宋体"/>
                    <w:color w:val="000000"/>
                    <w:sz w:val="24"/>
                    <w:szCs w:val="24"/>
                  </w:rPr>
                  <w:fldChar w:fldCharType="separate"/>
                </w:r>
                <w:r>
                  <w:rPr>
                    <w:rFonts w:ascii="宋体" w:hAnsi="宋体" w:eastAsia="宋体"/>
                    <w:color w:val="000000"/>
                    <w:sz w:val="24"/>
                    <w:szCs w:val="24"/>
                    <w:lang w:val="zh-CN"/>
                  </w:rPr>
                  <w:t>6</w:t>
                </w:r>
                <w:r>
                  <w:rPr>
                    <w:rFonts w:ascii="宋体" w:hAnsi="宋体" w:eastAsia="宋体"/>
                    <w:color w:val="000000"/>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420" w:hanging="420"/>
      </w:pPr>
      <w:rPr>
        <w:rFonts w:hint="default" w:ascii="黑体" w:hAnsi="黑体" w:eastAsia="黑体" w:cs="黑体"/>
        <w:bCs/>
        <w:sz w:val="28"/>
        <w:szCs w:val="28"/>
      </w:rPr>
    </w:lvl>
    <w:lvl w:ilvl="1" w:tentative="0">
      <w:start w:val="1"/>
      <w:numFmt w:val="decimal"/>
      <w:lvlText w:val="%1.%2"/>
      <w:lvlJc w:val="left"/>
      <w:pPr>
        <w:ind w:left="840" w:hanging="420"/>
      </w:pPr>
      <w:rPr>
        <w:rFonts w:hint="default" w:ascii="黑体" w:hAnsi="黑体" w:eastAsia="黑体"/>
        <w:b w:val="0"/>
        <w:bCs/>
      </w:rPr>
    </w:lvl>
    <w:lvl w:ilvl="2" w:tentative="0">
      <w:start w:val="1"/>
      <w:numFmt w:val="decimal"/>
      <w:lvlText w:val="%1.%2.%3"/>
      <w:lvlJc w:val="left"/>
      <w:pPr>
        <w:ind w:left="1252" w:hanging="420"/>
      </w:pPr>
      <w:rPr>
        <w:rFonts w:hint="default" w:ascii="黑体" w:hAnsi="黑体" w:eastAsia="黑体"/>
        <w:b w:val="0"/>
        <w:bCs w:val="0"/>
      </w:rPr>
    </w:lvl>
    <w:lvl w:ilvl="3" w:tentative="0">
      <w:start w:val="1"/>
      <w:numFmt w:val="decimal"/>
      <w:lvlText w:val="%1.%2.%3.%4"/>
      <w:lvlJc w:val="left"/>
      <w:pPr>
        <w:ind w:left="1680" w:hanging="420"/>
      </w:pPr>
      <w:rPr>
        <w:rFonts w:hint="default" w:ascii="宋体" w:hAnsi="宋体" w:eastAsia="宋体"/>
        <w:bCs/>
        <w:sz w:val="28"/>
        <w:szCs w:val="28"/>
      </w:rPr>
    </w:lvl>
    <w:lvl w:ilvl="4" w:tentative="0">
      <w:start w:val="1"/>
      <w:numFmt w:val="decimal"/>
      <w:lvlText w:val="%1.%2.%3.%4.%5"/>
      <w:lvlJc w:val="left"/>
      <w:pPr>
        <w:ind w:left="2100" w:hanging="420"/>
      </w:pPr>
      <w:rPr>
        <w:rFonts w:hint="default" w:ascii="宋体" w:hAnsi="宋体" w:eastAsia="宋体"/>
        <w:bCs/>
      </w:rPr>
    </w:lvl>
    <w:lvl w:ilvl="5" w:tentative="0">
      <w:start w:val="1"/>
      <w:numFmt w:val="decimal"/>
      <w:lvlText w:val="%1.%2.%3.%4.%5.%6"/>
      <w:lvlJc w:val="left"/>
      <w:pPr>
        <w:ind w:left="2520" w:hanging="420"/>
      </w:pPr>
      <w:rPr>
        <w:rFonts w:hint="default" w:ascii="宋体" w:hAnsi="宋体" w:eastAsia="宋体"/>
        <w:bCs/>
      </w:rPr>
    </w:lvl>
    <w:lvl w:ilvl="6" w:tentative="0">
      <w:start w:val="1"/>
      <w:numFmt w:val="decimal"/>
      <w:lvlText w:val="%1.%2.%3.%4.%5.%6.%7"/>
      <w:lvlJc w:val="left"/>
      <w:pPr>
        <w:ind w:left="2940" w:hanging="420"/>
      </w:pPr>
      <w:rPr>
        <w:rFonts w:hint="default" w:ascii="宋体" w:hAnsi="宋体" w:eastAsia="宋体"/>
        <w:bCs/>
      </w:rPr>
    </w:lvl>
    <w:lvl w:ilvl="7" w:tentative="0">
      <w:start w:val="1"/>
      <w:numFmt w:val="decimal"/>
      <w:lvlText w:val="%1.%2.%3.%4.%5.%6.%7.%8"/>
      <w:lvlJc w:val="left"/>
      <w:pPr>
        <w:ind w:left="3360" w:hanging="420"/>
      </w:pPr>
      <w:rPr>
        <w:rFonts w:hint="default" w:ascii="宋体" w:hAnsi="宋体" w:eastAsia="宋体"/>
        <w:bCs/>
      </w:rPr>
    </w:lvl>
    <w:lvl w:ilvl="8" w:tentative="0">
      <w:start w:val="1"/>
      <w:numFmt w:val="decimal"/>
      <w:lvlText w:val="%1.%2.%3.%4.%5.%6.%7.%8.%9"/>
      <w:lvlJc w:val="left"/>
      <w:pPr>
        <w:ind w:left="3780" w:hanging="420"/>
      </w:pPr>
      <w:rPr>
        <w:rFonts w:hint="default" w:ascii="宋体" w:hAnsi="宋体" w:eastAsia="宋体"/>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A0C1A"/>
    <w:rsid w:val="00006872"/>
    <w:rsid w:val="00023A1E"/>
    <w:rsid w:val="00025942"/>
    <w:rsid w:val="000523A5"/>
    <w:rsid w:val="000536ED"/>
    <w:rsid w:val="000605FE"/>
    <w:rsid w:val="000624D3"/>
    <w:rsid w:val="00086DCB"/>
    <w:rsid w:val="000908ED"/>
    <w:rsid w:val="0009361A"/>
    <w:rsid w:val="000B302D"/>
    <w:rsid w:val="000C0CEC"/>
    <w:rsid w:val="000C3E50"/>
    <w:rsid w:val="000C51B7"/>
    <w:rsid w:val="000E1BC9"/>
    <w:rsid w:val="00100582"/>
    <w:rsid w:val="00104485"/>
    <w:rsid w:val="00120896"/>
    <w:rsid w:val="00132596"/>
    <w:rsid w:val="001449E6"/>
    <w:rsid w:val="001647B7"/>
    <w:rsid w:val="0019183E"/>
    <w:rsid w:val="001B3219"/>
    <w:rsid w:val="001C40AA"/>
    <w:rsid w:val="001E7A34"/>
    <w:rsid w:val="001F1618"/>
    <w:rsid w:val="001F65A2"/>
    <w:rsid w:val="00201418"/>
    <w:rsid w:val="00202AC7"/>
    <w:rsid w:val="00212E06"/>
    <w:rsid w:val="002165F8"/>
    <w:rsid w:val="00216EB9"/>
    <w:rsid w:val="0023554E"/>
    <w:rsid w:val="00236A11"/>
    <w:rsid w:val="00247566"/>
    <w:rsid w:val="00252DCC"/>
    <w:rsid w:val="00253EBB"/>
    <w:rsid w:val="002578DB"/>
    <w:rsid w:val="00281214"/>
    <w:rsid w:val="00296314"/>
    <w:rsid w:val="002B439E"/>
    <w:rsid w:val="002C004A"/>
    <w:rsid w:val="002C1884"/>
    <w:rsid w:val="002F39E0"/>
    <w:rsid w:val="00306936"/>
    <w:rsid w:val="00306B2A"/>
    <w:rsid w:val="00313A20"/>
    <w:rsid w:val="003174D9"/>
    <w:rsid w:val="003176F6"/>
    <w:rsid w:val="00322A6B"/>
    <w:rsid w:val="003237C1"/>
    <w:rsid w:val="00325458"/>
    <w:rsid w:val="003271AB"/>
    <w:rsid w:val="003A08AB"/>
    <w:rsid w:val="003B3909"/>
    <w:rsid w:val="003C777F"/>
    <w:rsid w:val="003D7071"/>
    <w:rsid w:val="003D7E97"/>
    <w:rsid w:val="003E1A66"/>
    <w:rsid w:val="003E2FD4"/>
    <w:rsid w:val="00436104"/>
    <w:rsid w:val="004508DF"/>
    <w:rsid w:val="00451DF9"/>
    <w:rsid w:val="004541E4"/>
    <w:rsid w:val="00467708"/>
    <w:rsid w:val="0048525B"/>
    <w:rsid w:val="004872C9"/>
    <w:rsid w:val="004B5DB3"/>
    <w:rsid w:val="004C0211"/>
    <w:rsid w:val="004C0213"/>
    <w:rsid w:val="004D36D7"/>
    <w:rsid w:val="004D7A71"/>
    <w:rsid w:val="004E5896"/>
    <w:rsid w:val="00511831"/>
    <w:rsid w:val="0053413C"/>
    <w:rsid w:val="0053703B"/>
    <w:rsid w:val="005452A4"/>
    <w:rsid w:val="005716CC"/>
    <w:rsid w:val="005768AB"/>
    <w:rsid w:val="00593874"/>
    <w:rsid w:val="0059531B"/>
    <w:rsid w:val="005A34CC"/>
    <w:rsid w:val="005C5625"/>
    <w:rsid w:val="005F6EDE"/>
    <w:rsid w:val="00616505"/>
    <w:rsid w:val="0062213C"/>
    <w:rsid w:val="00623C0B"/>
    <w:rsid w:val="00630E3E"/>
    <w:rsid w:val="00633F40"/>
    <w:rsid w:val="006549AD"/>
    <w:rsid w:val="0066006B"/>
    <w:rsid w:val="006638EC"/>
    <w:rsid w:val="00674A94"/>
    <w:rsid w:val="00676EB2"/>
    <w:rsid w:val="00682DD5"/>
    <w:rsid w:val="00684D9C"/>
    <w:rsid w:val="00692AB5"/>
    <w:rsid w:val="006B0A9B"/>
    <w:rsid w:val="006B2156"/>
    <w:rsid w:val="006B701B"/>
    <w:rsid w:val="006D1878"/>
    <w:rsid w:val="006D6C41"/>
    <w:rsid w:val="006E1233"/>
    <w:rsid w:val="007104A4"/>
    <w:rsid w:val="007111FA"/>
    <w:rsid w:val="00726602"/>
    <w:rsid w:val="00734B62"/>
    <w:rsid w:val="007354A3"/>
    <w:rsid w:val="0074555D"/>
    <w:rsid w:val="00747A7E"/>
    <w:rsid w:val="007526A3"/>
    <w:rsid w:val="0077613B"/>
    <w:rsid w:val="0077651B"/>
    <w:rsid w:val="0078095C"/>
    <w:rsid w:val="00782BC4"/>
    <w:rsid w:val="007835AB"/>
    <w:rsid w:val="007A0C52"/>
    <w:rsid w:val="007B26B3"/>
    <w:rsid w:val="007D2B4C"/>
    <w:rsid w:val="00802292"/>
    <w:rsid w:val="00807B26"/>
    <w:rsid w:val="00815345"/>
    <w:rsid w:val="00816190"/>
    <w:rsid w:val="00826656"/>
    <w:rsid w:val="00842F12"/>
    <w:rsid w:val="008473F0"/>
    <w:rsid w:val="008541EC"/>
    <w:rsid w:val="008570FF"/>
    <w:rsid w:val="00872F37"/>
    <w:rsid w:val="00873EEB"/>
    <w:rsid w:val="008C39E7"/>
    <w:rsid w:val="008C42F6"/>
    <w:rsid w:val="008D2196"/>
    <w:rsid w:val="008D4E9D"/>
    <w:rsid w:val="00900F7D"/>
    <w:rsid w:val="00913B1A"/>
    <w:rsid w:val="00923C00"/>
    <w:rsid w:val="00926A53"/>
    <w:rsid w:val="0093471D"/>
    <w:rsid w:val="00937D0E"/>
    <w:rsid w:val="009502CD"/>
    <w:rsid w:val="009652D0"/>
    <w:rsid w:val="009674F1"/>
    <w:rsid w:val="00973936"/>
    <w:rsid w:val="00980A5B"/>
    <w:rsid w:val="0098232F"/>
    <w:rsid w:val="00987303"/>
    <w:rsid w:val="00992E7F"/>
    <w:rsid w:val="009A2A8F"/>
    <w:rsid w:val="009B7817"/>
    <w:rsid w:val="009C09C9"/>
    <w:rsid w:val="009C0FBE"/>
    <w:rsid w:val="009C14D4"/>
    <w:rsid w:val="009D14F2"/>
    <w:rsid w:val="009D6533"/>
    <w:rsid w:val="009E388B"/>
    <w:rsid w:val="009F7610"/>
    <w:rsid w:val="00A07038"/>
    <w:rsid w:val="00A17FFA"/>
    <w:rsid w:val="00A202B9"/>
    <w:rsid w:val="00A579E0"/>
    <w:rsid w:val="00A60633"/>
    <w:rsid w:val="00A632B1"/>
    <w:rsid w:val="00A67FC2"/>
    <w:rsid w:val="00A747B5"/>
    <w:rsid w:val="00A804EF"/>
    <w:rsid w:val="00A9246C"/>
    <w:rsid w:val="00AA3DE2"/>
    <w:rsid w:val="00AD535E"/>
    <w:rsid w:val="00AE1367"/>
    <w:rsid w:val="00AF0608"/>
    <w:rsid w:val="00AF3EB3"/>
    <w:rsid w:val="00B11684"/>
    <w:rsid w:val="00B348FC"/>
    <w:rsid w:val="00B60516"/>
    <w:rsid w:val="00B65827"/>
    <w:rsid w:val="00B815C1"/>
    <w:rsid w:val="00B84EC5"/>
    <w:rsid w:val="00B87E16"/>
    <w:rsid w:val="00BA0C1A"/>
    <w:rsid w:val="00BC37A4"/>
    <w:rsid w:val="00BC3F73"/>
    <w:rsid w:val="00BC6065"/>
    <w:rsid w:val="00BF73C8"/>
    <w:rsid w:val="00C05776"/>
    <w:rsid w:val="00C061CB"/>
    <w:rsid w:val="00C37D4E"/>
    <w:rsid w:val="00C40218"/>
    <w:rsid w:val="00C425DE"/>
    <w:rsid w:val="00C57807"/>
    <w:rsid w:val="00C604EC"/>
    <w:rsid w:val="00C60CFF"/>
    <w:rsid w:val="00C7078F"/>
    <w:rsid w:val="00C910AB"/>
    <w:rsid w:val="00C91697"/>
    <w:rsid w:val="00C9268B"/>
    <w:rsid w:val="00C97DF6"/>
    <w:rsid w:val="00CC4EFC"/>
    <w:rsid w:val="00CF0DD7"/>
    <w:rsid w:val="00CF48C0"/>
    <w:rsid w:val="00CF7DC4"/>
    <w:rsid w:val="00D15480"/>
    <w:rsid w:val="00D17F6C"/>
    <w:rsid w:val="00D229E1"/>
    <w:rsid w:val="00D41EC3"/>
    <w:rsid w:val="00D42989"/>
    <w:rsid w:val="00D42D43"/>
    <w:rsid w:val="00D46AD7"/>
    <w:rsid w:val="00D53420"/>
    <w:rsid w:val="00D83973"/>
    <w:rsid w:val="00D84AC3"/>
    <w:rsid w:val="00D85208"/>
    <w:rsid w:val="00D86ED1"/>
    <w:rsid w:val="00DB453A"/>
    <w:rsid w:val="00DB702C"/>
    <w:rsid w:val="00DC1E0A"/>
    <w:rsid w:val="00DD26F3"/>
    <w:rsid w:val="00DD32AF"/>
    <w:rsid w:val="00DD4C05"/>
    <w:rsid w:val="00DD65F6"/>
    <w:rsid w:val="00DF1CEE"/>
    <w:rsid w:val="00E0077A"/>
    <w:rsid w:val="00E040D5"/>
    <w:rsid w:val="00E052FA"/>
    <w:rsid w:val="00E07945"/>
    <w:rsid w:val="00E1381E"/>
    <w:rsid w:val="00E26251"/>
    <w:rsid w:val="00E3340D"/>
    <w:rsid w:val="00E425F3"/>
    <w:rsid w:val="00E55F97"/>
    <w:rsid w:val="00E64382"/>
    <w:rsid w:val="00E8100B"/>
    <w:rsid w:val="00E855C6"/>
    <w:rsid w:val="00E931D1"/>
    <w:rsid w:val="00EA1EE8"/>
    <w:rsid w:val="00EC5778"/>
    <w:rsid w:val="00ED7E1F"/>
    <w:rsid w:val="00EE38E0"/>
    <w:rsid w:val="00F00520"/>
    <w:rsid w:val="00F079CA"/>
    <w:rsid w:val="00F20F5D"/>
    <w:rsid w:val="00F23D07"/>
    <w:rsid w:val="00F40B31"/>
    <w:rsid w:val="00F53662"/>
    <w:rsid w:val="00F609F3"/>
    <w:rsid w:val="00F73315"/>
    <w:rsid w:val="00F97CA4"/>
    <w:rsid w:val="00FC0913"/>
    <w:rsid w:val="00FC5E5B"/>
    <w:rsid w:val="00FE039D"/>
    <w:rsid w:val="00FF3C6F"/>
    <w:rsid w:val="026409B9"/>
    <w:rsid w:val="02DC72C7"/>
    <w:rsid w:val="03AA5237"/>
    <w:rsid w:val="04003C23"/>
    <w:rsid w:val="04312E4C"/>
    <w:rsid w:val="051E2110"/>
    <w:rsid w:val="05CC6FDD"/>
    <w:rsid w:val="05D75684"/>
    <w:rsid w:val="083D07F0"/>
    <w:rsid w:val="089733F8"/>
    <w:rsid w:val="09803885"/>
    <w:rsid w:val="0E5156D1"/>
    <w:rsid w:val="0F9704F4"/>
    <w:rsid w:val="105E3B74"/>
    <w:rsid w:val="11AF4526"/>
    <w:rsid w:val="13174AE5"/>
    <w:rsid w:val="134358DA"/>
    <w:rsid w:val="16ED03EF"/>
    <w:rsid w:val="1A932BDE"/>
    <w:rsid w:val="1B3C2CE4"/>
    <w:rsid w:val="1B5059EB"/>
    <w:rsid w:val="1B740651"/>
    <w:rsid w:val="1C2C4424"/>
    <w:rsid w:val="1CD54CE6"/>
    <w:rsid w:val="1DEC38DC"/>
    <w:rsid w:val="1E8022F6"/>
    <w:rsid w:val="20414129"/>
    <w:rsid w:val="22A01ED4"/>
    <w:rsid w:val="230C1709"/>
    <w:rsid w:val="235B7CB5"/>
    <w:rsid w:val="274C6FFB"/>
    <w:rsid w:val="27DB47C4"/>
    <w:rsid w:val="294764C6"/>
    <w:rsid w:val="2990514A"/>
    <w:rsid w:val="2AF35D5C"/>
    <w:rsid w:val="2B023570"/>
    <w:rsid w:val="2B357B8E"/>
    <w:rsid w:val="2BAA320F"/>
    <w:rsid w:val="2C873F73"/>
    <w:rsid w:val="2CAE0F61"/>
    <w:rsid w:val="2E127743"/>
    <w:rsid w:val="2EDE611B"/>
    <w:rsid w:val="2F186D85"/>
    <w:rsid w:val="303C4EA0"/>
    <w:rsid w:val="30456175"/>
    <w:rsid w:val="306355EE"/>
    <w:rsid w:val="312152CC"/>
    <w:rsid w:val="3232137B"/>
    <w:rsid w:val="3319283B"/>
    <w:rsid w:val="33D0009D"/>
    <w:rsid w:val="34FF1E5E"/>
    <w:rsid w:val="35C8390B"/>
    <w:rsid w:val="35DF1D74"/>
    <w:rsid w:val="36772279"/>
    <w:rsid w:val="37212E24"/>
    <w:rsid w:val="380C6BFD"/>
    <w:rsid w:val="38916C9E"/>
    <w:rsid w:val="394A21CB"/>
    <w:rsid w:val="3B3B5C7A"/>
    <w:rsid w:val="3C05299E"/>
    <w:rsid w:val="3CA66FD7"/>
    <w:rsid w:val="3DF070C6"/>
    <w:rsid w:val="4046515C"/>
    <w:rsid w:val="428563FA"/>
    <w:rsid w:val="434067C1"/>
    <w:rsid w:val="442B7B91"/>
    <w:rsid w:val="443655E3"/>
    <w:rsid w:val="455C1877"/>
    <w:rsid w:val="461D238E"/>
    <w:rsid w:val="48511492"/>
    <w:rsid w:val="49680BAA"/>
    <w:rsid w:val="49C66CE1"/>
    <w:rsid w:val="4AFA62A3"/>
    <w:rsid w:val="4B7A4B3E"/>
    <w:rsid w:val="4CB65BBF"/>
    <w:rsid w:val="4E540C41"/>
    <w:rsid w:val="4E9E395A"/>
    <w:rsid w:val="4EA10072"/>
    <w:rsid w:val="509867EA"/>
    <w:rsid w:val="512C3968"/>
    <w:rsid w:val="52E26A2F"/>
    <w:rsid w:val="52ED029A"/>
    <w:rsid w:val="530E579D"/>
    <w:rsid w:val="53457428"/>
    <w:rsid w:val="537A1782"/>
    <w:rsid w:val="538C30F7"/>
    <w:rsid w:val="544271FF"/>
    <w:rsid w:val="55973E73"/>
    <w:rsid w:val="55DA0048"/>
    <w:rsid w:val="568D20C3"/>
    <w:rsid w:val="56974442"/>
    <w:rsid w:val="5A034EC3"/>
    <w:rsid w:val="5A37234D"/>
    <w:rsid w:val="5A5E7BBB"/>
    <w:rsid w:val="5AC44264"/>
    <w:rsid w:val="5B5D49E7"/>
    <w:rsid w:val="5B777F4E"/>
    <w:rsid w:val="5D550BC5"/>
    <w:rsid w:val="5D750455"/>
    <w:rsid w:val="5DD628F1"/>
    <w:rsid w:val="60364764"/>
    <w:rsid w:val="640817BA"/>
    <w:rsid w:val="64605C2B"/>
    <w:rsid w:val="650445CF"/>
    <w:rsid w:val="67035B47"/>
    <w:rsid w:val="691B722C"/>
    <w:rsid w:val="6A055B1C"/>
    <w:rsid w:val="6A500C3D"/>
    <w:rsid w:val="6D796289"/>
    <w:rsid w:val="6EAF13B0"/>
    <w:rsid w:val="6ECF5CBB"/>
    <w:rsid w:val="6F3E1BAE"/>
    <w:rsid w:val="70332C1E"/>
    <w:rsid w:val="70801783"/>
    <w:rsid w:val="70C941B4"/>
    <w:rsid w:val="70E95381"/>
    <w:rsid w:val="71061E72"/>
    <w:rsid w:val="710D5343"/>
    <w:rsid w:val="727D21E6"/>
    <w:rsid w:val="74AD2FDE"/>
    <w:rsid w:val="751F6C7C"/>
    <w:rsid w:val="76A17668"/>
    <w:rsid w:val="779D15FE"/>
    <w:rsid w:val="78AE6666"/>
    <w:rsid w:val="7A3B2499"/>
    <w:rsid w:val="7AE60C3F"/>
    <w:rsid w:val="7CDA7C6A"/>
    <w:rsid w:val="7E0E4E17"/>
    <w:rsid w:val="7E5760DF"/>
    <w:rsid w:val="7E97390A"/>
    <w:rsid w:val="7F020554"/>
    <w:rsid w:val="7FA857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37"/>
    <w:semiHidden/>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1260"/>
      <w:jc w:val="left"/>
    </w:pPr>
    <w:rPr>
      <w:rFonts w:cstheme="minorHAnsi"/>
      <w:sz w:val="18"/>
      <w:szCs w:val="18"/>
    </w:rPr>
  </w:style>
  <w:style w:type="paragraph" w:styleId="5">
    <w:name w:val="annotation text"/>
    <w:basedOn w:val="1"/>
    <w:link w:val="35"/>
    <w:semiHidden/>
    <w:unhideWhenUsed/>
    <w:qFormat/>
    <w:uiPriority w:val="99"/>
    <w:pPr>
      <w:jc w:val="left"/>
    </w:pPr>
  </w:style>
  <w:style w:type="paragraph" w:styleId="6">
    <w:name w:val="Body Text Indent"/>
    <w:basedOn w:val="1"/>
    <w:link w:val="31"/>
    <w:semiHidden/>
    <w:unhideWhenUsed/>
    <w:qFormat/>
    <w:uiPriority w:val="99"/>
    <w:pPr>
      <w:spacing w:after="120"/>
      <w:ind w:left="420" w:leftChars="200"/>
    </w:pPr>
  </w:style>
  <w:style w:type="paragraph" w:styleId="7">
    <w:name w:val="toc 5"/>
    <w:basedOn w:val="1"/>
    <w:next w:val="1"/>
    <w:unhideWhenUsed/>
    <w:qFormat/>
    <w:uiPriority w:val="39"/>
    <w:pPr>
      <w:ind w:left="840"/>
      <w:jc w:val="left"/>
    </w:pPr>
    <w:rPr>
      <w:rFonts w:cstheme="minorHAnsi"/>
      <w:sz w:val="18"/>
      <w:szCs w:val="18"/>
    </w:rPr>
  </w:style>
  <w:style w:type="paragraph" w:styleId="8">
    <w:name w:val="toc 3"/>
    <w:basedOn w:val="1"/>
    <w:next w:val="1"/>
    <w:unhideWhenUsed/>
    <w:qFormat/>
    <w:uiPriority w:val="39"/>
    <w:pPr>
      <w:ind w:left="420"/>
      <w:jc w:val="left"/>
    </w:pPr>
    <w:rPr>
      <w:rFonts w:cstheme="minorHAnsi"/>
      <w:i/>
      <w:iCs/>
      <w:sz w:val="20"/>
      <w:szCs w:val="20"/>
    </w:rPr>
  </w:style>
  <w:style w:type="paragraph" w:styleId="9">
    <w:name w:val="toc 8"/>
    <w:basedOn w:val="1"/>
    <w:next w:val="1"/>
    <w:unhideWhenUsed/>
    <w:qFormat/>
    <w:uiPriority w:val="39"/>
    <w:pPr>
      <w:ind w:left="1470"/>
      <w:jc w:val="left"/>
    </w:pPr>
    <w:rPr>
      <w:rFonts w:cstheme="minorHAnsi"/>
      <w:sz w:val="18"/>
      <w:szCs w:val="18"/>
    </w:rPr>
  </w:style>
  <w:style w:type="paragraph" w:styleId="10">
    <w:name w:val="Balloon Text"/>
    <w:basedOn w:val="1"/>
    <w:link w:val="30"/>
    <w:semiHidden/>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before="120" w:after="120"/>
      <w:jc w:val="left"/>
    </w:pPr>
    <w:rPr>
      <w:rFonts w:cstheme="minorHAnsi"/>
      <w:b/>
      <w:bCs/>
      <w:caps/>
      <w:sz w:val="20"/>
      <w:szCs w:val="20"/>
    </w:rPr>
  </w:style>
  <w:style w:type="paragraph" w:styleId="14">
    <w:name w:val="toc 4"/>
    <w:basedOn w:val="1"/>
    <w:next w:val="1"/>
    <w:unhideWhenUsed/>
    <w:qFormat/>
    <w:uiPriority w:val="39"/>
    <w:pPr>
      <w:ind w:left="630"/>
      <w:jc w:val="left"/>
    </w:pPr>
    <w:rPr>
      <w:rFonts w:cstheme="minorHAnsi"/>
      <w:sz w:val="18"/>
      <w:szCs w:val="18"/>
    </w:rPr>
  </w:style>
  <w:style w:type="paragraph" w:styleId="15">
    <w:name w:val="toc 6"/>
    <w:basedOn w:val="1"/>
    <w:next w:val="1"/>
    <w:unhideWhenUsed/>
    <w:qFormat/>
    <w:uiPriority w:val="39"/>
    <w:pPr>
      <w:ind w:left="1050"/>
      <w:jc w:val="left"/>
    </w:pPr>
    <w:rPr>
      <w:rFonts w:cstheme="minorHAnsi"/>
      <w:sz w:val="18"/>
      <w:szCs w:val="18"/>
    </w:rPr>
  </w:style>
  <w:style w:type="paragraph" w:styleId="16">
    <w:name w:val="toc 2"/>
    <w:basedOn w:val="1"/>
    <w:next w:val="1"/>
    <w:unhideWhenUsed/>
    <w:qFormat/>
    <w:uiPriority w:val="39"/>
    <w:pPr>
      <w:ind w:left="210"/>
      <w:jc w:val="left"/>
    </w:pPr>
    <w:rPr>
      <w:rFonts w:cstheme="minorHAnsi"/>
      <w:smallCaps/>
      <w:sz w:val="20"/>
      <w:szCs w:val="20"/>
    </w:rPr>
  </w:style>
  <w:style w:type="paragraph" w:styleId="17">
    <w:name w:val="toc 9"/>
    <w:basedOn w:val="1"/>
    <w:next w:val="1"/>
    <w:unhideWhenUsed/>
    <w:qFormat/>
    <w:uiPriority w:val="39"/>
    <w:pPr>
      <w:ind w:left="1680"/>
      <w:jc w:val="left"/>
    </w:pPr>
    <w:rPr>
      <w:rFonts w:cstheme="minorHAnsi"/>
      <w:sz w:val="18"/>
      <w:szCs w:val="18"/>
    </w:rPr>
  </w:style>
  <w:style w:type="paragraph" w:styleId="18">
    <w:name w:val="annotation subject"/>
    <w:basedOn w:val="5"/>
    <w:next w:val="5"/>
    <w:link w:val="36"/>
    <w:semiHidden/>
    <w:unhideWhenUsed/>
    <w:qFormat/>
    <w:uiPriority w:val="99"/>
    <w:rPr>
      <w:b/>
      <w:bCs/>
    </w:rPr>
  </w:style>
  <w:style w:type="paragraph" w:styleId="19">
    <w:name w:val="Body Text First Indent 2"/>
    <w:basedOn w:val="6"/>
    <w:link w:val="32"/>
    <w:unhideWhenUsed/>
    <w:qFormat/>
    <w:uiPriority w:val="99"/>
    <w:pPr>
      <w:spacing w:before="100" w:beforeAutospacing="1"/>
      <w:ind w:firstLine="420" w:firstLineChars="200"/>
    </w:pPr>
    <w:rPr>
      <w:rFonts w:ascii="Times New Roman" w:hAnsi="Times New Roman" w:eastAsia="宋体" w:cs="Times New Roman"/>
      <w:szCs w:val="21"/>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Hyperlink"/>
    <w:basedOn w:val="22"/>
    <w:unhideWhenUsed/>
    <w:qFormat/>
    <w:uiPriority w:val="99"/>
    <w:rPr>
      <w:color w:val="0000FF" w:themeColor="hyperlink"/>
      <w:u w:val="single"/>
    </w:rPr>
  </w:style>
  <w:style w:type="character" w:styleId="25">
    <w:name w:val="annotation reference"/>
    <w:basedOn w:val="22"/>
    <w:semiHidden/>
    <w:unhideWhenUsed/>
    <w:qFormat/>
    <w:uiPriority w:val="99"/>
    <w:rPr>
      <w:sz w:val="21"/>
      <w:szCs w:val="21"/>
    </w:rPr>
  </w:style>
  <w:style w:type="character" w:customStyle="1" w:styleId="26">
    <w:name w:val="页眉 字符"/>
    <w:basedOn w:val="22"/>
    <w:link w:val="12"/>
    <w:semiHidden/>
    <w:qFormat/>
    <w:uiPriority w:val="99"/>
    <w:rPr>
      <w:sz w:val="18"/>
      <w:szCs w:val="18"/>
    </w:rPr>
  </w:style>
  <w:style w:type="character" w:customStyle="1" w:styleId="27">
    <w:name w:val="页脚 字符"/>
    <w:basedOn w:val="22"/>
    <w:link w:val="11"/>
    <w:semiHidden/>
    <w:qFormat/>
    <w:uiPriority w:val="99"/>
    <w:rPr>
      <w:sz w:val="18"/>
      <w:szCs w:val="18"/>
    </w:rPr>
  </w:style>
  <w:style w:type="paragraph" w:styleId="28">
    <w:name w:val="List Paragraph"/>
    <w:basedOn w:val="1"/>
    <w:qFormat/>
    <w:uiPriority w:val="34"/>
    <w:pPr>
      <w:ind w:firstLine="420" w:firstLineChars="200"/>
    </w:pPr>
  </w:style>
  <w:style w:type="paragraph" w:customStyle="1" w:styleId="29">
    <w:name w:val="TOC 标题1"/>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30">
    <w:name w:val="批注框文本 字符"/>
    <w:basedOn w:val="22"/>
    <w:link w:val="10"/>
    <w:semiHidden/>
    <w:qFormat/>
    <w:uiPriority w:val="99"/>
    <w:rPr>
      <w:rFonts w:asciiTheme="minorHAnsi" w:hAnsiTheme="minorHAnsi" w:eastAsiaTheme="minorEastAsia" w:cstheme="minorBidi"/>
      <w:kern w:val="2"/>
      <w:sz w:val="18"/>
      <w:szCs w:val="18"/>
    </w:rPr>
  </w:style>
  <w:style w:type="character" w:customStyle="1" w:styleId="31">
    <w:name w:val="正文文本缩进 字符"/>
    <w:basedOn w:val="22"/>
    <w:link w:val="6"/>
    <w:semiHidden/>
    <w:qFormat/>
    <w:uiPriority w:val="99"/>
    <w:rPr>
      <w:rFonts w:asciiTheme="minorHAnsi" w:hAnsiTheme="minorHAnsi" w:eastAsiaTheme="minorEastAsia" w:cstheme="minorBidi"/>
      <w:kern w:val="2"/>
      <w:sz w:val="21"/>
      <w:szCs w:val="22"/>
    </w:rPr>
  </w:style>
  <w:style w:type="character" w:customStyle="1" w:styleId="32">
    <w:name w:val="正文文本首行缩进 2 字符"/>
    <w:basedOn w:val="31"/>
    <w:link w:val="19"/>
    <w:qFormat/>
    <w:uiPriority w:val="99"/>
    <w:rPr>
      <w:rFonts w:asciiTheme="minorHAnsi" w:hAnsiTheme="minorHAnsi" w:eastAsiaTheme="minorEastAsia" w:cstheme="minorBidi"/>
      <w:kern w:val="2"/>
      <w:sz w:val="21"/>
      <w:szCs w:val="21"/>
    </w:rPr>
  </w:style>
  <w:style w:type="character" w:customStyle="1" w:styleId="33">
    <w:name w:val="15"/>
    <w:basedOn w:val="22"/>
    <w:qFormat/>
    <w:uiPriority w:val="0"/>
    <w:rPr>
      <w:rFonts w:hint="default" w:ascii="Times New Roman" w:hAnsi="Times New Roman" w:cs="Times New Roman"/>
      <w:color w:val="000000"/>
      <w:sz w:val="21"/>
      <w:szCs w:val="21"/>
    </w:rPr>
  </w:style>
  <w:style w:type="character" w:customStyle="1" w:styleId="34">
    <w:name w:val="16"/>
    <w:basedOn w:val="22"/>
    <w:qFormat/>
    <w:uiPriority w:val="0"/>
    <w:rPr>
      <w:rFonts w:hint="eastAsia" w:ascii="华文仿宋" w:hAnsi="华文仿宋" w:eastAsia="华文仿宋"/>
      <w:color w:val="000000"/>
      <w:sz w:val="21"/>
      <w:szCs w:val="21"/>
    </w:rPr>
  </w:style>
  <w:style w:type="character" w:customStyle="1" w:styleId="35">
    <w:name w:val="批注文字 字符"/>
    <w:basedOn w:val="22"/>
    <w:link w:val="5"/>
    <w:semiHidden/>
    <w:qFormat/>
    <w:uiPriority w:val="99"/>
    <w:rPr>
      <w:rFonts w:asciiTheme="minorHAnsi" w:hAnsiTheme="minorHAnsi" w:eastAsiaTheme="minorEastAsia" w:cstheme="minorBidi"/>
      <w:kern w:val="2"/>
      <w:sz w:val="21"/>
      <w:szCs w:val="22"/>
    </w:rPr>
  </w:style>
  <w:style w:type="character" w:customStyle="1" w:styleId="36">
    <w:name w:val="批注主题 字符"/>
    <w:basedOn w:val="35"/>
    <w:link w:val="18"/>
    <w:semiHidden/>
    <w:qFormat/>
    <w:uiPriority w:val="99"/>
    <w:rPr>
      <w:rFonts w:asciiTheme="minorHAnsi" w:hAnsiTheme="minorHAnsi" w:eastAsiaTheme="minorEastAsia" w:cstheme="minorBidi"/>
      <w:b/>
      <w:bCs/>
      <w:kern w:val="2"/>
      <w:sz w:val="21"/>
      <w:szCs w:val="22"/>
    </w:rPr>
  </w:style>
  <w:style w:type="character" w:customStyle="1" w:styleId="37">
    <w:name w:val="标题 3 字符"/>
    <w:basedOn w:val="22"/>
    <w:link w:val="3"/>
    <w:semiHidden/>
    <w:qFormat/>
    <w:uiPriority w:val="9"/>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2784</Words>
  <Characters>15872</Characters>
  <Lines>132</Lines>
  <Paragraphs>37</Paragraphs>
  <TotalTime>6</TotalTime>
  <ScaleCrop>false</ScaleCrop>
  <LinksUpToDate>false</LinksUpToDate>
  <CharactersWithSpaces>18619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2021-08-30T14:01:00Z</dcterms:created>
  <dc:creator>Tencent</dc:creator>
  <cp:lastModifiedBy>云</cp:lastModifiedBy>
  <cp:lastPrinted>2021-09-09T06:01:00Z</cp:lastPrinted>
  <dcterms:modified xsi:type="dcterms:W3CDTF">2021-12-31T08:45:53Z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3C2D179BE86140FEA29A2A2BDFB22C9C</vt:lpwstr>
  </property>
</Properties>
</file>