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b/>
          <w:bCs/>
          <w:color w:val="FF0000"/>
          <w:sz w:val="120"/>
        </w:rPr>
      </w:pPr>
      <w:r>
        <w:rPr>
          <w:rFonts w:hint="eastAsia" w:ascii="宋体" w:hAnsi="宋体" w:eastAsia="宋体"/>
          <w:b/>
          <w:bCs/>
          <w:color w:val="FF0000"/>
          <w:spacing w:val="1"/>
          <w:w w:val="69"/>
          <w:kern w:val="0"/>
          <w:sz w:val="120"/>
          <w:fitText w:val="8400" w:id="0"/>
        </w:rPr>
        <w:t>苏</w:t>
      </w:r>
      <w:r>
        <w:rPr>
          <w:rFonts w:hint="eastAsia" w:ascii="宋体" w:hAnsi="宋体" w:eastAsia="宋体"/>
          <w:b/>
          <w:bCs/>
          <w:color w:val="FF0000"/>
          <w:w w:val="69"/>
          <w:kern w:val="0"/>
          <w:sz w:val="120"/>
          <w:fitText w:val="8400" w:id="0"/>
        </w:rPr>
        <w:t>州市安全生产委员会</w:t>
      </w:r>
    </w:p>
    <w:p>
      <w:pPr>
        <w:spacing w:line="400" w:lineRule="exact"/>
        <w:jc w:val="center"/>
        <w:rPr>
          <w:rFonts w:hint="eastAsia"/>
        </w:rPr>
      </w:pPr>
    </w:p>
    <w:p>
      <w:pPr>
        <w:spacing w:line="400" w:lineRule="exact"/>
        <w:jc w:val="center"/>
        <w:rPr>
          <w:rFonts w:hint="eastAsia" w:ascii="仿宋" w:hAnsi="仿宋"/>
          <w:szCs w:val="32"/>
        </w:rPr>
      </w:pPr>
      <w:r>
        <w:rPr>
          <w:rFonts w:hint="eastAsia" w:ascii="仿宋" w:hAnsi="仿宋" w:eastAsia="仿宋" w:cs="仿宋"/>
          <w:b w:val="0"/>
          <w:bCs w:val="0"/>
          <w:sz w:val="32"/>
          <w:szCs w:val="32"/>
          <w:lang w:eastAsia="zh-CN"/>
        </w:rPr>
        <w:t>苏安〔20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w:t>
      </w:r>
      <w:r>
        <w:rPr>
          <w:rFonts w:hint="eastAsia" w:ascii="仿宋" w:hAnsi="仿宋" w:cs="仿宋"/>
          <w:b w:val="0"/>
          <w:bCs w:val="0"/>
          <w:sz w:val="32"/>
          <w:szCs w:val="32"/>
          <w:lang w:val="en-US" w:eastAsia="zh-CN"/>
        </w:rPr>
        <w:t>43</w:t>
      </w:r>
      <w:r>
        <w:rPr>
          <w:rFonts w:hint="eastAsia" w:ascii="仿宋" w:hAnsi="仿宋" w:eastAsia="仿宋" w:cs="仿宋"/>
          <w:b w:val="0"/>
          <w:bCs w:val="0"/>
          <w:sz w:val="32"/>
          <w:szCs w:val="32"/>
          <w:lang w:eastAsia="zh-CN"/>
        </w:rPr>
        <w:t>号</w:t>
      </w:r>
    </w:p>
    <w:p>
      <w:pPr>
        <w:spacing w:line="400" w:lineRule="exact"/>
        <w:jc w:val="center"/>
        <w:rPr>
          <w:rFonts w:hint="eastAsia"/>
          <w:sz w:val="36"/>
        </w:rPr>
      </w:pPr>
    </w:p>
    <w:p>
      <w:pPr>
        <w:spacing w:line="520" w:lineRule="exact"/>
        <w:jc w:val="center"/>
        <w:rPr>
          <w:rFonts w:hint="eastAsia" w:ascii="宋体" w:hAnsi="宋体" w:eastAsia="宋体" w:cs="宋体"/>
          <w:b w:val="0"/>
          <w:bCs w:val="0"/>
          <w:sz w:val="44"/>
          <w:szCs w:val="44"/>
        </w:rPr>
      </w:pPr>
      <w:r>
        <w:rPr>
          <w:b/>
          <w:bCs/>
          <w:lang w:val="zh-CN"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30480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41pt;z-index:251658240;mso-width-relative:page;mso-height-relative:page;" filled="f" stroked="t" coordsize="21600,21600" o:gfxdata="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88tMnSAAAABAEAAA8AAAAA&#10;AAAAAQAgAAAAIgAAAGRycy9kb3ducmV2LnhtbFBLAQIUABQAAAAIAIdO4kA/+2J64QEAAKUDAAAO&#10;AAAAAAAAAAEAIAAAACEBAABkcnMvZTJvRG9jLnhtbFBLBQYAAAAABgAGAFkBAAB0BQAAAAA=&#10;">
                <v:fill on="f" focussize="0,0"/>
                <v:stroke weight="2pt" color="#FF0000" joinstyle="round"/>
                <v:imagedata o:title=""/>
                <o:lock v:ext="edit" aspectratio="f"/>
              </v:line>
            </w:pict>
          </mc:Fallback>
        </mc:AlternateConten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关于转发《常熟市龙腾特种钢有限公司委外</w:t>
      </w:r>
    </w:p>
    <w:p>
      <w:pPr>
        <w:spacing w:line="520" w:lineRule="exact"/>
        <w:jc w:val="center"/>
        <w:rPr>
          <w:rFonts w:ascii="宋体" w:hAnsi="宋体" w:eastAsia="宋体" w:cs="宋体"/>
          <w:sz w:val="44"/>
          <w:szCs w:val="44"/>
        </w:rPr>
      </w:pPr>
      <w:r>
        <w:rPr>
          <w:rFonts w:hint="eastAsia" w:ascii="宋体" w:hAnsi="宋体" w:eastAsia="宋体" w:cs="宋体"/>
          <w:sz w:val="44"/>
          <w:szCs w:val="44"/>
        </w:rPr>
        <w:t>作业安全管理做法》的通知</w:t>
      </w:r>
    </w:p>
    <w:p>
      <w:pPr>
        <w:spacing w:line="520" w:lineRule="exact"/>
        <w:rPr>
          <w:rFonts w:ascii="仿宋" w:hAnsi="仿宋" w:eastAsia="仿宋" w:cs="仿宋"/>
          <w:sz w:val="32"/>
          <w:szCs w:val="32"/>
        </w:rPr>
      </w:pPr>
    </w:p>
    <w:p>
      <w:pPr>
        <w:spacing w:line="520" w:lineRule="exact"/>
        <w:rPr>
          <w:rFonts w:hint="eastAsia" w:ascii="仿宋" w:hAnsi="仿宋" w:eastAsia="仿宋" w:cs="仿宋"/>
          <w:sz w:val="32"/>
          <w:szCs w:val="32"/>
        </w:rPr>
      </w:pPr>
      <w:r>
        <w:rPr>
          <w:rFonts w:hint="eastAsia" w:ascii="仿宋" w:hAnsi="仿宋" w:eastAsia="仿宋" w:cs="仿宋"/>
          <w:sz w:val="32"/>
          <w:szCs w:val="32"/>
        </w:rPr>
        <w:t>各市（区）人民政府，苏州工业园区、苏州高新区管委会，太仓港口管委会，市安全生产委员会各成员单位：</w:t>
      </w:r>
    </w:p>
    <w:p>
      <w:pPr>
        <w:spacing w:line="520" w:lineRule="exac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近年来，</w:t>
      </w:r>
      <w:r>
        <w:rPr>
          <w:rFonts w:ascii="仿宋" w:hAnsi="仿宋" w:eastAsia="仿宋"/>
          <w:sz w:val="32"/>
          <w:szCs w:val="32"/>
        </w:rPr>
        <w:t>全市</w:t>
      </w:r>
      <w:r>
        <w:rPr>
          <w:rFonts w:hint="eastAsia" w:ascii="仿宋" w:hAnsi="仿宋" w:eastAsia="仿宋"/>
          <w:sz w:val="32"/>
          <w:szCs w:val="32"/>
          <w:lang w:eastAsia="zh-CN"/>
        </w:rPr>
        <w:t>工矿商贸</w:t>
      </w:r>
      <w:r>
        <w:rPr>
          <w:rFonts w:ascii="仿宋" w:hAnsi="仿宋" w:eastAsia="仿宋"/>
          <w:sz w:val="32"/>
          <w:szCs w:val="32"/>
        </w:rPr>
        <w:t>事故中</w:t>
      </w:r>
      <w:r>
        <w:rPr>
          <w:rFonts w:hint="eastAsia" w:ascii="仿宋" w:hAnsi="仿宋" w:eastAsia="仿宋"/>
          <w:sz w:val="32"/>
          <w:szCs w:val="32"/>
          <w:lang w:eastAsia="zh-CN"/>
        </w:rPr>
        <w:t>（含建筑事故）涉及委外作业事故</w:t>
      </w:r>
      <w:r>
        <w:rPr>
          <w:rFonts w:hint="eastAsia" w:ascii="仿宋" w:hAnsi="仿宋" w:eastAsia="仿宋" w:cs="仿宋"/>
          <w:sz w:val="32"/>
          <w:szCs w:val="32"/>
          <w:lang w:eastAsia="zh-CN"/>
        </w:rPr>
        <w:t>约占全市事故总数的</w:t>
      </w:r>
      <w:r>
        <w:rPr>
          <w:rFonts w:hint="eastAsia" w:ascii="仿宋" w:hAnsi="仿宋" w:eastAsia="仿宋" w:cs="仿宋"/>
          <w:sz w:val="32"/>
          <w:szCs w:val="32"/>
          <w:lang w:val="en-US" w:eastAsia="zh-CN"/>
        </w:rPr>
        <w:t>60%以上，是安全生产监管的难点痛点。前期，市安委办组织相关部门对全市2019年事故评估情况“回头看”检查时发现，</w:t>
      </w:r>
      <w:r>
        <w:rPr>
          <w:rFonts w:hint="eastAsia" w:ascii="仿宋_GB2312" w:hAnsi="仿宋_GB2312" w:eastAsia="仿宋_GB2312" w:cs="仿宋_GB2312"/>
          <w:b w:val="0"/>
          <w:bCs w:val="0"/>
          <w:sz w:val="32"/>
          <w:szCs w:val="32"/>
        </w:rPr>
        <w:t>常熟市龙腾特种钢有限公司认真吸取事故教训，</w:t>
      </w:r>
      <w:r>
        <w:rPr>
          <w:rFonts w:hint="eastAsia" w:ascii="仿宋_GB2312" w:hAnsi="仿宋_GB2312" w:eastAsia="仿宋_GB2312" w:cs="仿宋_GB2312"/>
          <w:b w:val="0"/>
          <w:bCs w:val="0"/>
          <w:sz w:val="32"/>
          <w:szCs w:val="32"/>
          <w:lang w:eastAsia="zh-CN"/>
        </w:rPr>
        <w:t>全面</w:t>
      </w:r>
      <w:r>
        <w:rPr>
          <w:rFonts w:hint="eastAsia" w:ascii="仿宋_GB2312" w:hAnsi="仿宋_GB2312" w:eastAsia="仿宋_GB2312" w:cs="仿宋_GB2312"/>
          <w:b w:val="0"/>
          <w:bCs w:val="0"/>
          <w:sz w:val="32"/>
          <w:szCs w:val="32"/>
        </w:rPr>
        <w:t>查找外来</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管理薄弱环节，</w:t>
      </w:r>
      <w:r>
        <w:rPr>
          <w:rFonts w:hint="eastAsia" w:ascii="仿宋_GB2312" w:hAnsi="仿宋_GB2312" w:eastAsia="仿宋_GB2312" w:cs="仿宋_GB2312"/>
          <w:b w:val="0"/>
          <w:bCs w:val="0"/>
          <w:sz w:val="32"/>
          <w:szCs w:val="32"/>
          <w:lang w:eastAsia="zh-CN"/>
        </w:rPr>
        <w:t>通过</w:t>
      </w:r>
      <w:r>
        <w:rPr>
          <w:rFonts w:hint="eastAsia" w:ascii="仿宋_GB2312" w:hAnsi="仿宋_GB2312" w:eastAsia="仿宋_GB2312" w:cs="仿宋_GB2312"/>
          <w:b w:val="0"/>
          <w:bCs w:val="0"/>
          <w:sz w:val="32"/>
          <w:szCs w:val="32"/>
        </w:rPr>
        <w:t>严把“四关”（资质关、培训关、过程关和考核关），摸索出一套行之有效的委外作业管理办法，</w:t>
      </w:r>
      <w:r>
        <w:rPr>
          <w:rFonts w:hint="eastAsia" w:ascii="仿宋_GB2312" w:hAnsi="仿宋_GB2312" w:eastAsia="仿宋_GB2312" w:cs="仿宋_GB2312"/>
          <w:b w:val="0"/>
          <w:bCs w:val="0"/>
          <w:sz w:val="32"/>
          <w:szCs w:val="32"/>
          <w:lang w:eastAsia="zh-CN"/>
        </w:rPr>
        <w:t>很好的解决了委</w:t>
      </w:r>
      <w:r>
        <w:rPr>
          <w:rFonts w:hint="eastAsia" w:ascii="仿宋_GB2312" w:hAnsi="仿宋_GB2312" w:eastAsia="仿宋_GB2312" w:cs="仿宋_GB2312"/>
          <w:b w:val="0"/>
          <w:bCs w:val="0"/>
          <w:sz w:val="32"/>
          <w:szCs w:val="32"/>
        </w:rPr>
        <w:t>外作业</w:t>
      </w:r>
      <w:r>
        <w:rPr>
          <w:rFonts w:hint="eastAsia" w:ascii="仿宋_GB2312" w:hAnsi="仿宋_GB2312" w:eastAsia="仿宋_GB2312" w:cs="仿宋_GB2312"/>
          <w:b w:val="0"/>
          <w:bCs w:val="0"/>
          <w:sz w:val="32"/>
          <w:szCs w:val="32"/>
          <w:lang w:eastAsia="zh-CN"/>
        </w:rPr>
        <w:t>安全</w:t>
      </w:r>
      <w:r>
        <w:rPr>
          <w:rFonts w:hint="eastAsia" w:ascii="仿宋_GB2312" w:hAnsi="仿宋_GB2312" w:eastAsia="仿宋_GB2312" w:cs="仿宋_GB2312"/>
          <w:b w:val="0"/>
          <w:bCs w:val="0"/>
          <w:sz w:val="32"/>
          <w:szCs w:val="32"/>
        </w:rPr>
        <w:t>难题</w:t>
      </w:r>
      <w:r>
        <w:rPr>
          <w:rFonts w:hint="eastAsia" w:ascii="仿宋_GB2312" w:hAnsi="仿宋_GB2312" w:eastAsia="仿宋_GB2312" w:cs="仿宋_GB2312"/>
          <w:b w:val="0"/>
          <w:bCs w:val="0"/>
          <w:sz w:val="32"/>
          <w:szCs w:val="32"/>
          <w:lang w:eastAsia="zh-CN"/>
        </w:rPr>
        <w:t>。</w:t>
      </w:r>
      <w:r>
        <w:rPr>
          <w:rFonts w:hint="eastAsia" w:ascii="仿宋" w:hAnsi="仿宋" w:eastAsia="仿宋" w:cs="仿宋"/>
          <w:sz w:val="32"/>
          <w:szCs w:val="32"/>
        </w:rPr>
        <w:t>现将常熟市龙腾特种钢有限公司委外作业安全管理做法转发你们，并提出以下要求：</w:t>
      </w:r>
    </w:p>
    <w:p>
      <w:pPr>
        <w:spacing w:line="520" w:lineRule="exact"/>
        <w:ind w:firstLine="640" w:firstLineChars="200"/>
        <w:rPr>
          <w:rFonts w:ascii="仿宋" w:hAnsi="仿宋" w:eastAsia="仿宋" w:cs="仿宋"/>
          <w:sz w:val="32"/>
          <w:szCs w:val="32"/>
        </w:rPr>
      </w:pPr>
      <w:r>
        <w:rPr>
          <w:rFonts w:hint="eastAsia" w:ascii="黑体" w:hAnsi="黑体" w:eastAsia="黑体" w:cs="黑体"/>
          <w:sz w:val="32"/>
          <w:szCs w:val="32"/>
        </w:rPr>
        <w:t>一、认真学习借鉴。</w:t>
      </w:r>
      <w:r>
        <w:rPr>
          <w:rFonts w:hint="eastAsia" w:ascii="仿宋" w:hAnsi="仿宋" w:eastAsia="仿宋" w:cs="仿宋"/>
          <w:sz w:val="32"/>
          <w:szCs w:val="32"/>
        </w:rPr>
        <w:t>各地、各部门、各单位要坚决贯彻落实习近平总书记关于安全生产系列重要论述和重要指示批示精神，围绕企业安全生产主体责任落实，创新工作方法，借鉴成熟经验，因地制宜，因时制宜，压紧压实责任，提升工作实效。</w:t>
      </w:r>
    </w:p>
    <w:p>
      <w:pPr>
        <w:spacing w:line="520" w:lineRule="exact"/>
        <w:ind w:firstLine="640" w:firstLineChars="200"/>
        <w:rPr>
          <w:rFonts w:ascii="仿宋" w:hAnsi="仿宋" w:eastAsia="仿宋" w:cs="仿宋"/>
          <w:sz w:val="32"/>
          <w:szCs w:val="32"/>
        </w:rPr>
      </w:pPr>
      <w:r>
        <w:rPr>
          <w:rFonts w:hint="eastAsia" w:ascii="黑体" w:hAnsi="黑体" w:eastAsia="黑体" w:cs="黑体"/>
          <w:sz w:val="32"/>
          <w:szCs w:val="32"/>
        </w:rPr>
        <w:t>二、因地制宜应用。</w:t>
      </w:r>
      <w:r>
        <w:rPr>
          <w:rFonts w:hint="eastAsia" w:ascii="仿宋" w:hAnsi="仿宋" w:eastAsia="仿宋" w:cs="仿宋"/>
          <w:sz w:val="32"/>
          <w:szCs w:val="32"/>
        </w:rPr>
        <w:t>常熟市龙腾特种钢有限公司委外作业安全管理经验做法，为解决委外作业单位及人员现场管控难、责任落实难提供了有效途径，为委外作业单位安全生产主体责任的落实强化了措施，各地要组织相关企业根据企业实际情况，制定委外作业安全管理工作方法，切实压降委外作业安全事故。</w:t>
      </w:r>
    </w:p>
    <w:p>
      <w:pPr>
        <w:spacing w:line="52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三、总结本地经验。</w:t>
      </w:r>
      <w:r>
        <w:rPr>
          <w:rFonts w:hint="eastAsia" w:ascii="仿宋" w:hAnsi="仿宋" w:eastAsia="仿宋" w:cs="仿宋"/>
          <w:sz w:val="32"/>
          <w:szCs w:val="32"/>
        </w:rPr>
        <w:t>各地、各部门、各单位要在安全生产专项整治行动中，在“百团进百万企业”安全生产专题宣讲、安全生产督导过程，认真总结发掘本地企业在安全生产方面解决难题、行之有效的经验做法，形成可复制推广的制度性成果，及时报送全面推广借鉴，全面推进工作落地见效，确保安全生产专项整治取得积极成效。</w:t>
      </w:r>
    </w:p>
    <w:p>
      <w:pPr>
        <w:pStyle w:val="2"/>
        <w:spacing w:line="520" w:lineRule="exact"/>
      </w:pPr>
    </w:p>
    <w:p>
      <w:pPr>
        <w:pStyle w:val="2"/>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附件：常熟市龙腾特种钢有限公司委外作业安全管理经验做</w:t>
      </w:r>
    </w:p>
    <w:p>
      <w:pPr>
        <w:pStyle w:val="2"/>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w:t>
      </w:r>
    </w:p>
    <w:p>
      <w:pPr/>
    </w:p>
    <w:p>
      <w:pPr>
        <w:spacing w:line="520" w:lineRule="exact"/>
        <w:rPr>
          <w:rFonts w:ascii="仿宋" w:hAnsi="仿宋" w:eastAsia="仿宋" w:cs="仿宋"/>
          <w:sz w:val="32"/>
          <w:szCs w:val="32"/>
        </w:rPr>
      </w:pPr>
    </w:p>
    <w:p>
      <w:pPr>
        <w:spacing w:line="520" w:lineRule="exact"/>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苏州市安全生产委员会</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2020年</w:t>
      </w:r>
      <w:r>
        <w:rPr>
          <w:rFonts w:hint="eastAsia" w:ascii="仿宋" w:hAnsi="仿宋" w:cs="仿宋"/>
          <w:sz w:val="32"/>
          <w:szCs w:val="32"/>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pStyle w:val="2"/>
        <w:spacing w:line="5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（此件主动公开）</w:t>
      </w:r>
    </w:p>
    <w:p>
      <w:pPr>
        <w:spacing w:line="520" w:lineRule="exact"/>
        <w:rPr>
          <w:rFonts w:ascii="仿宋" w:hAnsi="仿宋" w:eastAsia="仿宋" w:cs="仿宋"/>
          <w:sz w:val="32"/>
          <w:szCs w:val="32"/>
        </w:rPr>
      </w:pPr>
    </w:p>
    <w:p>
      <w:pPr>
        <w:pStyle w:val="2"/>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pStyle w:val="2"/>
        <w:spacing w:line="520" w:lineRule="exact"/>
        <w:rPr>
          <w:rFonts w:ascii="仿宋" w:hAnsi="仿宋" w:eastAsia="仿宋" w:cs="仿宋"/>
          <w:sz w:val="32"/>
          <w:szCs w:val="32"/>
        </w:rPr>
      </w:pPr>
    </w:p>
    <w:p>
      <w:pPr>
        <w:pStyle w:val="2"/>
        <w:spacing w:line="520" w:lineRule="exact"/>
        <w:ind w:left="0" w:leftChars="0" w:firstLine="0" w:firstLineChars="0"/>
      </w:pPr>
    </w:p>
    <w:p>
      <w:pPr>
        <w:spacing w:line="52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2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常熟市龙腾特种钢有限公司</w:t>
      </w:r>
    </w:p>
    <w:p>
      <w:pPr>
        <w:spacing w:line="52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委外作业安全管理做法</w:t>
      </w:r>
    </w:p>
    <w:p>
      <w:pPr>
        <w:spacing w:line="520" w:lineRule="exact"/>
        <w:ind w:firstLine="640" w:firstLineChars="200"/>
        <w:rPr>
          <w:rFonts w:hint="eastAsia" w:ascii="仿宋_GB2312" w:hAnsi="仿宋_GB2312" w:eastAsia="仿宋_GB2312" w:cs="仿宋_GB2312"/>
          <w:b w:val="0"/>
          <w:bCs w:val="0"/>
          <w:sz w:val="32"/>
          <w:szCs w:val="32"/>
        </w:rPr>
      </w:pPr>
    </w:p>
    <w:p>
      <w:pPr>
        <w:spacing w:line="52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常熟市龙腾特种钢有限公司委外作业项目广、内容杂、队伍多，每年的委外作业单位有30多个，外来单位的安全管理水平和员工安全素质与公司有很大差距，以前公司虽然加大了对他们的管理力度，但未抓住有效落实外来单位安全生产责任这一主要矛盾，致公司每年外来单位都会发生生产安全事故。针对这一难题，近年来，公司举一反三、认真吸取事故教训，对以往事故原因进行逐一分析，认真查找对外来</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管理的薄弱环节，严把“四关”（资质关、培训关、过程关和考核关），在压紧压实外来单位的安全生产责任、强化委外单位员工的安全意识方面，摸索出了一套行之有效的委外作业管理办法，公司安全生产形势逐年向好。</w:t>
      </w:r>
    </w:p>
    <w:p>
      <w:pPr>
        <w:spacing w:line="52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一、严把资质关，落实企业主体责任</w:t>
      </w:r>
    </w:p>
    <w:p>
      <w:pPr>
        <w:spacing w:line="520" w:lineRule="exact"/>
        <w:ind w:firstLine="643" w:firstLineChars="200"/>
        <w:rPr>
          <w:rFonts w:ascii="仿宋_GB2312" w:hAnsi="仿宋_GB2312" w:eastAsia="仿宋_GB2312" w:cs="仿宋_GB2312"/>
          <w:b w:val="0"/>
          <w:bCs w:val="0"/>
          <w:color w:val="000000"/>
          <w:sz w:val="32"/>
          <w:szCs w:val="32"/>
        </w:rPr>
      </w:pPr>
      <w:r>
        <w:rPr>
          <w:rFonts w:hint="eastAsia" w:ascii="楷体" w:hAnsi="楷体" w:eastAsia="楷体" w:cs="楷体"/>
          <w:b w:val="0"/>
          <w:bCs w:val="0"/>
          <w:color w:val="000000"/>
          <w:sz w:val="32"/>
          <w:szCs w:val="32"/>
        </w:rPr>
        <w:t>一是坚持资质审查“三道关”制度。</w:t>
      </w:r>
      <w:r>
        <w:rPr>
          <w:rFonts w:hint="eastAsia" w:ascii="仿宋_GB2312" w:hAnsi="仿宋_GB2312" w:eastAsia="仿宋_GB2312" w:cs="仿宋_GB2312"/>
          <w:b w:val="0"/>
          <w:bCs w:val="0"/>
          <w:color w:val="000000"/>
          <w:sz w:val="32"/>
          <w:szCs w:val="32"/>
        </w:rPr>
        <w:t>严格审查委外作业单位资质和安全施工方案，即</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公司相关部门签订项目合同时严把资质审查关</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公司安全部签订安全协议及办理入场手续时严把资质审查关</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公司二级分厂施工前安全交底时严把资质审查关</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确保每家进公司的外来单位都具备相应资质。</w:t>
      </w:r>
      <w:r>
        <w:rPr>
          <w:rFonts w:hint="eastAsia" w:ascii="楷体" w:hAnsi="楷体" w:eastAsia="楷体" w:cs="楷体"/>
          <w:b w:val="0"/>
          <w:bCs w:val="0"/>
          <w:color w:val="000000"/>
          <w:sz w:val="32"/>
          <w:szCs w:val="32"/>
        </w:rPr>
        <w:t>二是坚持“三个统一”。</w:t>
      </w:r>
      <w:r>
        <w:rPr>
          <w:rFonts w:hint="eastAsia" w:ascii="仿宋_GB2312" w:hAnsi="仿宋_GB2312" w:eastAsia="仿宋_GB2312" w:cs="仿宋_GB2312"/>
          <w:b w:val="0"/>
          <w:bCs w:val="0"/>
          <w:color w:val="000000"/>
          <w:sz w:val="32"/>
          <w:szCs w:val="32"/>
        </w:rPr>
        <w:t>即</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工程合同与安全协议统一、安全协议与施工资质统一、施工方案与安全协议统一。</w:t>
      </w:r>
      <w:r>
        <w:rPr>
          <w:rFonts w:hint="eastAsia" w:ascii="楷体" w:hAnsi="楷体" w:eastAsia="楷体" w:cs="楷体"/>
          <w:b w:val="0"/>
          <w:bCs w:val="0"/>
          <w:color w:val="000000"/>
          <w:sz w:val="32"/>
          <w:szCs w:val="32"/>
        </w:rPr>
        <w:t>三是严格外来单位项目经理的管理。</w:t>
      </w:r>
      <w:r>
        <w:rPr>
          <w:rFonts w:hint="eastAsia" w:ascii="仿宋_GB2312" w:hAnsi="仿宋_GB2312" w:eastAsia="仿宋_GB2312" w:cs="仿宋_GB2312"/>
          <w:b w:val="0"/>
          <w:bCs w:val="0"/>
          <w:color w:val="000000"/>
          <w:sz w:val="32"/>
          <w:szCs w:val="32"/>
        </w:rPr>
        <w:t>运用手机终端，通过公司委外施工主体责任网络平台，要求外来单位项目经理必须每天组织委外单位召开班前会，以上传班前会图片及会议内容为证，项目经理离厂时必须向安全部负责人请假，且每月缺席班前会不得超过3次，每月必须参加公司的安全专题会议。</w:t>
      </w:r>
    </w:p>
    <w:p>
      <w:pPr>
        <w:spacing w:line="52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二、严把培训关，提升作业人员安全素质</w:t>
      </w:r>
    </w:p>
    <w:p>
      <w:pPr>
        <w:spacing w:line="520" w:lineRule="exact"/>
        <w:ind w:firstLine="643" w:firstLineChars="200"/>
        <w:rPr>
          <w:b w:val="0"/>
          <w:bCs w:val="0"/>
        </w:rPr>
      </w:pPr>
      <w:r>
        <w:rPr>
          <w:rFonts w:hint="eastAsia" w:ascii="楷体" w:hAnsi="楷体" w:eastAsia="楷体" w:cs="楷体"/>
          <w:b w:val="0"/>
          <w:bCs w:val="0"/>
          <w:color w:val="000000"/>
          <w:sz w:val="32"/>
          <w:szCs w:val="32"/>
        </w:rPr>
        <w:t>一是加强安全教育培训。</w:t>
      </w:r>
      <w:r>
        <w:rPr>
          <w:rFonts w:hint="eastAsia" w:ascii="仿宋_GB2312" w:hAnsi="仿宋_GB2312" w:eastAsia="仿宋_GB2312" w:cs="仿宋_GB2312"/>
          <w:b w:val="0"/>
          <w:bCs w:val="0"/>
          <w:color w:val="000000"/>
          <w:sz w:val="32"/>
          <w:szCs w:val="32"/>
        </w:rPr>
        <w:t>坚持委外人员入厂教育两级安全培训制度，对委外人员的安全要求与本公司一视同仁，进厂安全培训和二级分厂安全交底，实现委外人员与员工同等培训，确保每一名进厂人员都能做到有教育培训、有安全交底、有出入证明。</w:t>
      </w:r>
      <w:r>
        <w:rPr>
          <w:rFonts w:hint="eastAsia" w:ascii="楷体" w:hAnsi="楷体" w:eastAsia="楷体" w:cs="楷体"/>
          <w:b w:val="0"/>
          <w:bCs w:val="0"/>
          <w:color w:val="000000"/>
          <w:sz w:val="32"/>
          <w:szCs w:val="32"/>
        </w:rPr>
        <w:t>二是坚持凭证入厂。</w:t>
      </w:r>
      <w:r>
        <w:rPr>
          <w:rFonts w:hint="eastAsia" w:ascii="仿宋_GB2312" w:hAnsi="仿宋_GB2312" w:eastAsia="仿宋_GB2312" w:cs="仿宋_GB2312"/>
          <w:b w:val="0"/>
          <w:bCs w:val="0"/>
          <w:color w:val="000000"/>
          <w:sz w:val="32"/>
          <w:szCs w:val="32"/>
        </w:rPr>
        <w:t>利用门禁系统，公司为每个培训合格的委外人员配发出入证，证件上有本人照片，方便门卫辨认；凡发现证件与本人不</w:t>
      </w:r>
      <w:r>
        <w:rPr>
          <w:rFonts w:hint="eastAsia" w:ascii="仿宋_GB2312" w:hAnsi="仿宋_GB2312" w:eastAsia="仿宋_GB2312" w:cs="仿宋_GB2312"/>
          <w:b w:val="0"/>
          <w:bCs w:val="0"/>
          <w:color w:val="000000"/>
          <w:sz w:val="32"/>
          <w:szCs w:val="32"/>
          <w:lang w:eastAsia="zh-CN"/>
        </w:rPr>
        <w:t>符</w:t>
      </w:r>
      <w:bookmarkStart w:id="0" w:name="_GoBack"/>
      <w:bookmarkEnd w:id="0"/>
      <w:r>
        <w:rPr>
          <w:rFonts w:hint="eastAsia" w:ascii="仿宋_GB2312" w:hAnsi="仿宋_GB2312" w:eastAsia="仿宋_GB2312" w:cs="仿宋_GB2312"/>
          <w:b w:val="0"/>
          <w:bCs w:val="0"/>
          <w:color w:val="000000"/>
          <w:sz w:val="32"/>
          <w:szCs w:val="32"/>
        </w:rPr>
        <w:t>，一律不得入厂，杜绝了以往委外单位随意更换人员的问题，避免了未经培训上岗现象的发生。</w:t>
      </w:r>
      <w:r>
        <w:rPr>
          <w:rFonts w:hint="eastAsia" w:ascii="楷体" w:hAnsi="楷体" w:eastAsia="楷体" w:cs="楷体"/>
          <w:b w:val="0"/>
          <w:bCs w:val="0"/>
          <w:color w:val="000000"/>
          <w:sz w:val="32"/>
          <w:szCs w:val="32"/>
        </w:rPr>
        <w:t>三是强化委外单位危险源辨识能力。</w:t>
      </w:r>
      <w:r>
        <w:rPr>
          <w:rFonts w:hint="eastAsia" w:ascii="仿宋_GB2312" w:hAnsi="仿宋_GB2312" w:eastAsia="仿宋_GB2312" w:cs="仿宋_GB2312"/>
          <w:b w:val="0"/>
          <w:bCs w:val="0"/>
          <w:color w:val="000000"/>
          <w:sz w:val="32"/>
          <w:szCs w:val="32"/>
        </w:rPr>
        <w:t>督促委外单位加强作业安全风险辨识，规范现场作业要求，完善安全管控措施，每季开展委外单位的专项安全评价，提升委外单位自主安全管理的能力，每年根据绩效评出安全管理优秀单位予以表彰。</w:t>
      </w:r>
    </w:p>
    <w:p>
      <w:pPr>
        <w:spacing w:line="52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三、严把过程关，抓好现场动态安全管理</w:t>
      </w:r>
    </w:p>
    <w:p>
      <w:pPr>
        <w:spacing w:line="520" w:lineRule="exact"/>
        <w:ind w:firstLine="643" w:firstLineChars="200"/>
        <w:rPr>
          <w:rFonts w:ascii="仿宋_GB2312" w:hAnsi="仿宋_GB2312" w:eastAsia="仿宋_GB2312" w:cs="仿宋_GB2312"/>
          <w:b w:val="0"/>
          <w:bCs w:val="0"/>
          <w:color w:val="000000"/>
          <w:sz w:val="32"/>
          <w:szCs w:val="32"/>
        </w:rPr>
      </w:pPr>
      <w:r>
        <w:rPr>
          <w:rFonts w:hint="eastAsia" w:ascii="楷体" w:hAnsi="楷体" w:eastAsia="楷体" w:cs="楷体"/>
          <w:b w:val="0"/>
          <w:bCs w:val="0"/>
          <w:color w:val="000000"/>
          <w:sz w:val="32"/>
          <w:szCs w:val="32"/>
        </w:rPr>
        <w:t>一方面推行“黄马甲”制度。</w:t>
      </w:r>
      <w:r>
        <w:rPr>
          <w:rFonts w:hint="eastAsia" w:ascii="仿宋_GB2312" w:hAnsi="仿宋_GB2312" w:eastAsia="仿宋_GB2312" w:cs="仿宋_GB2312"/>
          <w:b w:val="0"/>
          <w:bCs w:val="0"/>
          <w:color w:val="000000"/>
          <w:sz w:val="32"/>
          <w:szCs w:val="32"/>
        </w:rPr>
        <w:t>“黄马甲”上岗前由公司负责专项培训，与甲方安全员签订结对协议，由甲方安全员指导识别施工现场的风险因素。公司规定委外单位的安全监护人员上班期间必须穿戴专用识别服“黄马甲”，并在现场监护作业。“黄马甲”每周必须参加施工所在分厂（部门）安全专题会，每月参加公司总部安全会议，每月必须提交安全监管总结，并提交当月发现并纠正违章情况、发现并实施隐患整改闭环等安全管理内容。</w:t>
      </w:r>
      <w:r>
        <w:rPr>
          <w:rFonts w:hint="eastAsia" w:ascii="楷体" w:hAnsi="楷体" w:eastAsia="楷体" w:cs="楷体"/>
          <w:b w:val="0"/>
          <w:bCs w:val="0"/>
          <w:sz w:val="32"/>
          <w:szCs w:val="32"/>
        </w:rPr>
        <w:t>另一方面开展专项治理严打违章高空作业。</w:t>
      </w:r>
      <w:r>
        <w:rPr>
          <w:rFonts w:hint="eastAsia" w:ascii="仿宋_GB2312" w:hAnsi="仿宋_GB2312" w:eastAsia="仿宋_GB2312" w:cs="仿宋_GB2312"/>
          <w:b w:val="0"/>
          <w:bCs w:val="0"/>
          <w:sz w:val="32"/>
          <w:szCs w:val="32"/>
        </w:rPr>
        <w:t>公司针对高处作业较多，易发生高处坠落事故的实际，重新修订了加强高空作业安全管理制度，明确规定高空作业必须系保险带，在上下高空作业面时必须系防坠绳，作业面必须有防坠网等措施。公司安全员在巡查过程中发现委外人员未落实防护措施时，由公司安全部门对施工方给予罚款，同时追究施工所在单位（公司分厂或部门）的连带责任，扣除施工所在单位考核奖，并在月度百分</w:t>
      </w:r>
      <w:r>
        <w:rPr>
          <w:rFonts w:hint="eastAsia" w:ascii="仿宋_GB2312" w:hAnsi="仿宋_GB2312" w:eastAsia="仿宋_GB2312" w:cs="仿宋_GB2312"/>
          <w:b w:val="0"/>
          <w:bCs w:val="0"/>
          <w:color w:val="000000"/>
          <w:sz w:val="32"/>
          <w:szCs w:val="32"/>
        </w:rPr>
        <w:t>制考核中扣分。</w:t>
      </w:r>
    </w:p>
    <w:p>
      <w:pPr>
        <w:spacing w:line="52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四、严把考核关，确保管理措施落到实处</w:t>
      </w:r>
    </w:p>
    <w:p>
      <w:pPr>
        <w:spacing w:line="520" w:lineRule="exact"/>
        <w:ind w:firstLine="643" w:firstLineChars="200"/>
        <w:rPr>
          <w:rFonts w:ascii="仿宋_GB2312" w:hAnsi="仿宋_GB2312" w:eastAsia="仿宋_GB2312" w:cs="仿宋_GB2312"/>
          <w:color w:val="000000"/>
          <w:kern w:val="2"/>
          <w:sz w:val="32"/>
          <w:szCs w:val="32"/>
        </w:rPr>
      </w:pPr>
      <w:r>
        <w:rPr>
          <w:rFonts w:hint="eastAsia" w:ascii="楷体" w:hAnsi="楷体" w:eastAsia="楷体" w:cs="楷体"/>
          <w:b w:val="0"/>
          <w:bCs w:val="0"/>
          <w:color w:val="000000"/>
          <w:sz w:val="32"/>
          <w:szCs w:val="32"/>
        </w:rPr>
        <w:t>一是坚持安全风险保证金制度。</w:t>
      </w:r>
      <w:r>
        <w:rPr>
          <w:rFonts w:hint="eastAsia" w:ascii="仿宋_GB2312" w:hAnsi="仿宋_GB2312" w:eastAsia="仿宋_GB2312" w:cs="仿宋_GB2312"/>
          <w:b w:val="0"/>
          <w:bCs w:val="0"/>
          <w:color w:val="000000"/>
          <w:sz w:val="32"/>
          <w:szCs w:val="32"/>
        </w:rPr>
        <w:t>公司一般以项目合同金额的2%作为风险抵押金，合同总金额低于10万的，风险金不低于5万。把风险抵押金与施工的安全管理挂钩，发现的隐患数量、违章次数以及项目经理责任落实情况和“黄马甲”监管等情况与风险金挂钩考核。公司安全部在给付工程款时有话语权，规定在支</w:t>
      </w:r>
      <w:r>
        <w:rPr>
          <w:rFonts w:hint="eastAsia" w:ascii="仿宋_GB2312" w:hAnsi="仿宋_GB2312" w:eastAsia="仿宋_GB2312" w:cs="仿宋_GB2312"/>
          <w:b w:val="0"/>
          <w:bCs w:val="0"/>
          <w:color w:val="000000"/>
          <w:sz w:val="32"/>
          <w:szCs w:val="32"/>
          <w:lang w:val="en-US" w:eastAsia="zh-CN"/>
        </w:rPr>
        <w:t>付</w:t>
      </w:r>
      <w:r>
        <w:rPr>
          <w:rFonts w:hint="eastAsia" w:ascii="仿宋_GB2312" w:hAnsi="仿宋_GB2312" w:eastAsia="仿宋_GB2312" w:cs="仿宋_GB2312"/>
          <w:b w:val="0"/>
          <w:bCs w:val="0"/>
          <w:color w:val="000000"/>
          <w:sz w:val="32"/>
          <w:szCs w:val="32"/>
        </w:rPr>
        <w:t>每笔工程款前，必须要经安全部门负责人签字确认，安全部门不签字财务部门不能支付，从而强化了对委外单位的现场安全管理的刚性约束，改变了以往不发生事故就100%返还的情况。</w:t>
      </w:r>
      <w:r>
        <w:rPr>
          <w:rFonts w:hint="eastAsia" w:ascii="楷体" w:hAnsi="楷体" w:eastAsia="楷体" w:cs="楷体"/>
          <w:b w:val="0"/>
          <w:bCs w:val="0"/>
          <w:color w:val="000000"/>
          <w:sz w:val="32"/>
          <w:szCs w:val="32"/>
        </w:rPr>
        <w:t>二是实施多级同责考核。</w:t>
      </w:r>
      <w:r>
        <w:rPr>
          <w:rFonts w:hint="eastAsia" w:ascii="仿宋_GB2312" w:hAnsi="仿宋_GB2312" w:eastAsia="仿宋_GB2312" w:cs="仿宋_GB2312"/>
          <w:b w:val="0"/>
          <w:bCs w:val="0"/>
          <w:color w:val="000000"/>
          <w:sz w:val="32"/>
          <w:szCs w:val="32"/>
        </w:rPr>
        <w:t>以区域负责为管理原则，明确委外作业区域分厂（车间）负责制；坚持委外单位的违章就是二级分厂的违章，委外作业的隐患就是二级分厂的隐患，对委外作业考核的同时对所在分厂（部门）连带考核，倒逼所在分厂（部门）落实安全监护统一管理责任。调动二级分厂主动管理的积极性，公司出台了相应的激励措施，根据二级分厂在监管过程中发现和纠正违章次数、发现和督促整改隐患情况等给予分厂月度百分制考核加分激励。</w:t>
      </w:r>
      <w:r>
        <w:rPr>
          <w:rFonts w:hint="eastAsia" w:ascii="楷体" w:hAnsi="楷体" w:eastAsia="楷体" w:cs="楷体"/>
          <w:b w:val="0"/>
          <w:bCs w:val="0"/>
          <w:color w:val="000000"/>
          <w:kern w:val="2"/>
          <w:sz w:val="32"/>
          <w:szCs w:val="32"/>
        </w:rPr>
        <w:t>三是实行淘汰制。</w:t>
      </w:r>
      <w:r>
        <w:rPr>
          <w:rFonts w:hint="eastAsia" w:ascii="仿宋_GB2312" w:hAnsi="仿宋_GB2312" w:eastAsia="仿宋_GB2312" w:cs="仿宋_GB2312"/>
          <w:b w:val="0"/>
          <w:bCs w:val="0"/>
          <w:color w:val="000000"/>
          <w:kern w:val="2"/>
          <w:sz w:val="32"/>
          <w:szCs w:val="32"/>
        </w:rPr>
        <w:t>公司注重对委外单位的考核结果运用，倒逼外来单位加强安全管理，对安全措施落实不到位的外来单位除了经济处罚外，公司还规定外来单位安全责任不落实，违章现象较多，扣分达到一定分值的，或委外单位发生生产安全责任事故的，实施“黑名单”制度，排除在公司第二年委外作业单位招投标之外，进一步强化了外来单位“不安全就会丢饭碗”的紧迫感。</w:t>
      </w:r>
    </w:p>
    <w:p>
      <w:pPr/>
    </w:p>
    <w:p>
      <w:pPr>
        <w:spacing w:line="580" w:lineRule="exact"/>
        <w:rPr>
          <w:rFonts w:hint="eastAsia" w:ascii="仿宋" w:hAnsi="仿宋" w:cs="仿宋"/>
          <w:bCs/>
          <w:color w:val="000000"/>
          <w:szCs w:val="32"/>
          <w:shd w:val="clear" w:color="auto" w:fill="FFFFFF"/>
        </w:rPr>
      </w:pPr>
    </w:p>
    <w:p>
      <w:pPr>
        <w:spacing w:line="580" w:lineRule="exact"/>
        <w:rPr>
          <w:rFonts w:hint="eastAsia" w:ascii="仿宋" w:hAnsi="仿宋" w:cs="仿宋"/>
          <w:bCs/>
          <w:color w:val="000000"/>
          <w:szCs w:val="32"/>
          <w:shd w:val="clear" w:color="auto" w:fill="FFFFFF"/>
        </w:rPr>
      </w:pPr>
    </w:p>
    <w:p>
      <w:pPr>
        <w:pStyle w:val="2"/>
        <w:rPr>
          <w:rFonts w:hint="eastAsia" w:ascii="仿宋" w:hAnsi="仿宋" w:cs="仿宋"/>
          <w:bCs/>
          <w:color w:val="000000"/>
          <w:szCs w:val="32"/>
          <w:shd w:val="clear" w:color="auto" w:fill="FFFFFF"/>
        </w:rPr>
      </w:pPr>
    </w:p>
    <w:p>
      <w:pPr>
        <w:rPr>
          <w:rFonts w:hint="eastAsia" w:ascii="仿宋" w:hAnsi="仿宋" w:cs="仿宋"/>
          <w:bCs/>
          <w:color w:val="000000"/>
          <w:szCs w:val="32"/>
          <w:shd w:val="clear" w:color="auto" w:fill="FFFFFF"/>
        </w:rPr>
      </w:pPr>
    </w:p>
    <w:p>
      <w:pPr>
        <w:pStyle w:val="2"/>
        <w:rPr>
          <w:rFonts w:hint="eastAsia" w:ascii="仿宋" w:hAnsi="仿宋" w:cs="仿宋"/>
          <w:bCs/>
          <w:color w:val="000000"/>
          <w:szCs w:val="32"/>
          <w:shd w:val="clear" w:color="auto" w:fill="FFFFFF"/>
        </w:rPr>
      </w:pPr>
    </w:p>
    <w:p>
      <w:pPr>
        <w:rPr>
          <w:rFonts w:hint="eastAsia" w:ascii="仿宋" w:hAnsi="仿宋" w:cs="仿宋"/>
          <w:bCs/>
          <w:color w:val="000000"/>
          <w:szCs w:val="32"/>
          <w:shd w:val="clear" w:color="auto" w:fill="FFFFFF"/>
        </w:rPr>
      </w:pPr>
    </w:p>
    <w:p>
      <w:pPr>
        <w:pStyle w:val="2"/>
        <w:rPr>
          <w:rFonts w:hint="eastAsia" w:ascii="仿宋" w:hAnsi="仿宋" w:cs="仿宋"/>
          <w:bCs/>
          <w:color w:val="000000"/>
          <w:szCs w:val="32"/>
          <w:shd w:val="clear" w:color="auto" w:fill="FFFFFF"/>
        </w:rPr>
      </w:pPr>
    </w:p>
    <w:p>
      <w:pPr>
        <w:rPr>
          <w:rFonts w:hint="eastAsia" w:ascii="仿宋" w:hAnsi="仿宋" w:cs="仿宋"/>
          <w:bCs/>
          <w:color w:val="000000"/>
          <w:szCs w:val="32"/>
          <w:shd w:val="clear" w:color="auto" w:fill="FFFFFF"/>
        </w:rPr>
      </w:pPr>
    </w:p>
    <w:p>
      <w:pPr>
        <w:pStyle w:val="2"/>
        <w:rPr>
          <w:rFonts w:hint="eastAsia" w:ascii="仿宋" w:hAnsi="仿宋" w:cs="仿宋"/>
          <w:bCs/>
          <w:color w:val="000000"/>
          <w:szCs w:val="32"/>
          <w:shd w:val="clear" w:color="auto" w:fill="FFFFFF"/>
        </w:rPr>
      </w:pPr>
    </w:p>
    <w:p>
      <w:pPr>
        <w:rPr>
          <w:rFonts w:hint="eastAsia" w:ascii="仿宋" w:hAnsi="仿宋" w:cs="仿宋"/>
          <w:bCs/>
          <w:color w:val="000000"/>
          <w:szCs w:val="32"/>
          <w:shd w:val="clear" w:color="auto" w:fill="FFFFFF"/>
        </w:rPr>
      </w:pPr>
    </w:p>
    <w:p>
      <w:pPr>
        <w:pStyle w:val="2"/>
        <w:rPr>
          <w:rFonts w:hint="eastAsia" w:ascii="仿宋" w:hAnsi="仿宋" w:cs="仿宋"/>
          <w:bCs/>
          <w:color w:val="000000"/>
          <w:szCs w:val="32"/>
          <w:shd w:val="clear" w:color="auto" w:fill="FFFFFF"/>
        </w:rPr>
      </w:pPr>
    </w:p>
    <w:p>
      <w:pPr>
        <w:rPr>
          <w:rFonts w:hint="eastAsia" w:ascii="仿宋" w:hAnsi="仿宋" w:cs="仿宋"/>
          <w:bCs/>
          <w:color w:val="000000"/>
          <w:szCs w:val="32"/>
          <w:shd w:val="clear" w:color="auto" w:fill="FFFFFF"/>
        </w:rPr>
      </w:pPr>
    </w:p>
    <w:p>
      <w:pPr>
        <w:pStyle w:val="2"/>
        <w:rPr>
          <w:rFonts w:hint="eastAsia" w:ascii="仿宋" w:hAnsi="仿宋" w:cs="仿宋"/>
          <w:bCs/>
          <w:color w:val="000000"/>
          <w:szCs w:val="32"/>
          <w:shd w:val="clear" w:color="auto" w:fill="FFFFFF"/>
        </w:rPr>
      </w:pPr>
    </w:p>
    <w:p>
      <w:pPr>
        <w:rPr>
          <w:rFonts w:hint="eastAsia" w:ascii="仿宋" w:hAnsi="仿宋" w:cs="仿宋"/>
          <w:bCs/>
          <w:color w:val="000000"/>
          <w:szCs w:val="32"/>
          <w:shd w:val="clear" w:color="auto" w:fill="FFFFFF"/>
        </w:rPr>
      </w:pPr>
    </w:p>
    <w:p>
      <w:pPr>
        <w:rPr>
          <w:rFonts w:hint="eastAsia"/>
        </w:rPr>
      </w:pPr>
    </w:p>
    <w:p>
      <w:pPr/>
      <w:r>
        <w:rPr>
          <w:rFonts w:ascii="仿宋" w:hAnsi="仿宋"/>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326390</wp:posOffset>
                </wp:positionV>
                <wp:extent cx="5583555" cy="0"/>
                <wp:effectExtent l="0" t="0" r="0" b="0"/>
                <wp:wrapNone/>
                <wp:docPr id="5" name="直线 4"/>
                <wp:cNvGraphicFramePr/>
                <a:graphic xmlns:a="http://schemas.openxmlformats.org/drawingml/2006/main">
                  <a:graphicData uri="http://schemas.microsoft.com/office/word/2010/wordprocessingShape">
                    <wps:wsp>
                      <wps:cNvCnPr/>
                      <wps:spPr>
                        <a:xfrm>
                          <a:off x="0" y="0"/>
                          <a:ext cx="55835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pt;margin-top:25.7pt;height:0pt;width:439.65pt;z-index:251661312;mso-width-relative:page;mso-height-relative:page;" filled="f" stroked="t" coordsize="21600,21600" o:gfxdata="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PZQ4tcAAAAIAQAADwAAAAAAAAABACAAAAAiAAAAZHJz&#10;L2Rvd25yZXYueG1sUEsBAhQAFAAAAAgAh07iQAxV6nnMAQAAjQMAAA4AAAAAAAAAAQAgAAAAJgEA&#10;AGRycy9lMm9Eb2MueG1sUEsFBgAAAAAGAAYAWQEAAGQFAAAAAA==&#10;">
                <v:fill on="f" focussize="0,0"/>
                <v:stroke color="#000000" joinstyle="round"/>
                <v:imagedata o:title=""/>
                <o:lock v:ext="edit" aspectratio="f"/>
              </v:line>
            </w:pict>
          </mc:Fallback>
        </mc:AlternateContent>
      </w:r>
      <w:r>
        <w:rPr>
          <w:rFonts w:ascii="仿宋" w:hAnsi="仿宋"/>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15875</wp:posOffset>
                </wp:positionV>
                <wp:extent cx="5583555" cy="0"/>
                <wp:effectExtent l="0" t="0" r="0" b="0"/>
                <wp:wrapNone/>
                <wp:docPr id="3" name="直线 3"/>
                <wp:cNvGraphicFramePr/>
                <a:graphic xmlns:a="http://schemas.openxmlformats.org/drawingml/2006/main">
                  <a:graphicData uri="http://schemas.microsoft.com/office/word/2010/wordprocessingShape">
                    <wps:wsp>
                      <wps:cNvCnPr/>
                      <wps:spPr>
                        <a:xfrm>
                          <a:off x="0" y="0"/>
                          <a:ext cx="55835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25pt;height:0pt;width:439.65pt;z-index:251660288;mso-width-relative:page;mso-height-relative:page;" filled="f" stroked="t" coordsize="21600,21600" o:gfxdata="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MYMfdMAAAAEAQAADwAAAAAAAAABACAAAAAiAAAAZHJzL2Rv&#10;d25yZXYueG1sUEsBAhQAFAAAAAgAh07iQAXElOzNAQAAjQMAAA4AAAAAAAAAAQAgAAAAIgEAAGRy&#10;cy9lMm9Eb2MueG1sUEsFBgAAAAAGAAYAWQEAAGEFAAAAAA==&#10;">
                <v:fill on="f" focussize="0,0"/>
                <v:stroke color="#000000" joinstyle="round"/>
                <v:imagedata o:title=""/>
                <o:lock v:ext="edit" aspectratio="f"/>
              </v:line>
            </w:pict>
          </mc:Fallback>
        </mc:AlternateContent>
      </w:r>
      <w:r>
        <w:rPr>
          <w:rFonts w:hint="eastAsia" w:ascii="仿宋" w:hAnsi="仿宋"/>
          <w:sz w:val="28"/>
          <w:szCs w:val="28"/>
          <w:lang w:val="en-US" w:eastAsia="zh-CN"/>
        </w:rPr>
        <w:t xml:space="preserve">  </w:t>
      </w:r>
      <w:r>
        <w:rPr>
          <w:rFonts w:hint="eastAsia" w:ascii="仿宋" w:hAnsi="仿宋"/>
          <w:sz w:val="28"/>
          <w:szCs w:val="28"/>
        </w:rPr>
        <w:t>苏州市</w:t>
      </w:r>
      <w:r>
        <w:rPr>
          <w:rFonts w:ascii="仿宋" w:hAnsi="仿宋"/>
          <w:sz w:val="28"/>
          <w:szCs w:val="28"/>
        </w:rPr>
        <w:t>安全生产委员会办公室</w:t>
      </w:r>
      <w:r>
        <w:rPr>
          <w:rFonts w:hint="eastAsia" w:ascii="仿宋" w:hAnsi="仿宋"/>
          <w:sz w:val="28"/>
          <w:szCs w:val="28"/>
        </w:rPr>
        <w:t xml:space="preserve">   </w:t>
      </w:r>
      <w:r>
        <w:rPr>
          <w:rFonts w:ascii="仿宋" w:hAnsi="仿宋"/>
          <w:sz w:val="28"/>
          <w:szCs w:val="28"/>
        </w:rPr>
        <w:t xml:space="preserve"> </w:t>
      </w:r>
      <w:r>
        <w:rPr>
          <w:rFonts w:hint="eastAsia" w:ascii="仿宋" w:hAnsi="仿宋"/>
          <w:sz w:val="28"/>
          <w:szCs w:val="28"/>
          <w:lang w:val="en-US" w:eastAsia="zh-CN"/>
        </w:rPr>
        <w:t xml:space="preserve"> </w:t>
      </w:r>
      <w:r>
        <w:rPr>
          <w:rFonts w:ascii="仿宋" w:hAnsi="仿宋"/>
          <w:sz w:val="28"/>
          <w:szCs w:val="28"/>
        </w:rPr>
        <w:t xml:space="preserve">     </w:t>
      </w:r>
      <w:r>
        <w:rPr>
          <w:rFonts w:hint="eastAsia" w:ascii="仿宋" w:hAnsi="仿宋"/>
          <w:sz w:val="28"/>
          <w:szCs w:val="28"/>
        </w:rPr>
        <w:t xml:space="preserve">    </w:t>
      </w:r>
      <w:r>
        <w:rPr>
          <w:rFonts w:ascii="仿宋" w:hAnsi="仿宋"/>
          <w:sz w:val="28"/>
          <w:szCs w:val="28"/>
        </w:rPr>
        <w:t>20</w:t>
      </w:r>
      <w:r>
        <w:rPr>
          <w:rFonts w:hint="eastAsia" w:ascii="仿宋" w:hAnsi="仿宋"/>
          <w:sz w:val="28"/>
          <w:szCs w:val="28"/>
          <w:lang w:val="en-US" w:eastAsia="zh-CN"/>
        </w:rPr>
        <w:t>20</w:t>
      </w:r>
      <w:r>
        <w:rPr>
          <w:rFonts w:ascii="仿宋" w:hAnsi="仿宋"/>
          <w:sz w:val="28"/>
          <w:szCs w:val="28"/>
        </w:rPr>
        <w:t>年</w:t>
      </w:r>
      <w:r>
        <w:rPr>
          <w:rFonts w:hint="eastAsia" w:ascii="仿宋" w:hAnsi="仿宋"/>
          <w:sz w:val="28"/>
          <w:szCs w:val="28"/>
          <w:lang w:val="en-US" w:eastAsia="zh-CN"/>
        </w:rPr>
        <w:t>9</w:t>
      </w:r>
      <w:r>
        <w:rPr>
          <w:rFonts w:ascii="仿宋" w:hAnsi="仿宋"/>
          <w:sz w:val="28"/>
          <w:szCs w:val="28"/>
        </w:rPr>
        <w:t>月</w:t>
      </w:r>
      <w:r>
        <w:rPr>
          <w:rFonts w:hint="eastAsia" w:ascii="仿宋" w:hAnsi="仿宋"/>
          <w:sz w:val="28"/>
          <w:szCs w:val="28"/>
          <w:lang w:val="en-US" w:eastAsia="zh-CN"/>
        </w:rPr>
        <w:t>10</w:t>
      </w:r>
      <w:r>
        <w:rPr>
          <w:rFonts w:ascii="仿宋" w:hAnsi="仿宋"/>
          <w:sz w:val="28"/>
          <w:szCs w:val="28"/>
        </w:rPr>
        <w:t>日印发</w:t>
      </w:r>
    </w:p>
    <w:sectPr>
      <w:footerReference r:id="rId3" w:type="default"/>
      <w:footerReference r:id="rId4" w:type="even"/>
      <w:pgSz w:w="11906" w:h="16838"/>
      <w:pgMar w:top="2098" w:right="1474" w:bottom="1985" w:left="1588" w:header="851" w:footer="141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wordWrap w:val="0"/>
      <w:ind w:right="320" w:rightChars="100"/>
      <w:jc w:val="right"/>
      <w:rPr>
        <w:rFonts w:ascii="仿宋" w:hAnsi="仿宋"/>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wordWrap w:val="0"/>
                            <w:ind w:right="320" w:rightChars="100"/>
                            <w:jc w:val="right"/>
                          </w:pPr>
                          <w:r>
                            <w:rPr>
                              <w:rFonts w:hint="eastAsia"/>
                              <w:sz w:val="28"/>
                              <w:szCs w:val="28"/>
                            </w:rPr>
                            <w:t xml:space="preserve">   </w:t>
                          </w:r>
                          <w:r>
                            <w:rPr>
                              <w:rFonts w:ascii="仿宋" w:hAnsi="仿宋"/>
                              <w:sz w:val="28"/>
                              <w:szCs w:val="28"/>
                            </w:rPr>
                            <w:fldChar w:fldCharType="begin"/>
                          </w:r>
                          <w:r>
                            <w:rPr>
                              <w:rFonts w:ascii="仿宋" w:hAnsi="仿宋"/>
                              <w:sz w:val="28"/>
                              <w:szCs w:val="28"/>
                            </w:rPr>
                            <w:instrText xml:space="preserve">PAGE   \* MERGEFORMAT</w:instrText>
                          </w:r>
                          <w:r>
                            <w:rPr>
                              <w:rFonts w:ascii="仿宋" w:hAnsi="仿宋"/>
                              <w:sz w:val="28"/>
                              <w:szCs w:val="28"/>
                            </w:rPr>
                            <w:fldChar w:fldCharType="separate"/>
                          </w:r>
                          <w:r>
                            <w:t>- 1 -</w:t>
                          </w:r>
                          <w:r>
                            <w:rPr>
                              <w:rFonts w:ascii="仿宋" w:hAnsi="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3"/>
                      <w:wordWrap w:val="0"/>
                      <w:ind w:right="320" w:rightChars="100"/>
                      <w:jc w:val="right"/>
                    </w:pPr>
                    <w:r>
                      <w:rPr>
                        <w:rFonts w:hint="eastAsia"/>
                        <w:sz w:val="28"/>
                        <w:szCs w:val="28"/>
                      </w:rPr>
                      <w:t xml:space="preserve">   </w:t>
                    </w:r>
                    <w:r>
                      <w:rPr>
                        <w:rFonts w:ascii="仿宋" w:hAnsi="仿宋"/>
                        <w:sz w:val="28"/>
                        <w:szCs w:val="28"/>
                      </w:rPr>
                      <w:fldChar w:fldCharType="begin"/>
                    </w:r>
                    <w:r>
                      <w:rPr>
                        <w:rFonts w:ascii="仿宋" w:hAnsi="仿宋"/>
                        <w:sz w:val="28"/>
                        <w:szCs w:val="28"/>
                      </w:rPr>
                      <w:instrText xml:space="preserve">PAGE   \* MERGEFORMAT</w:instrText>
                    </w:r>
                    <w:r>
                      <w:rPr>
                        <w:rFonts w:ascii="仿宋" w:hAnsi="仿宋"/>
                        <w:sz w:val="28"/>
                        <w:szCs w:val="28"/>
                      </w:rPr>
                      <w:fldChar w:fldCharType="separate"/>
                    </w:r>
                    <w:r>
                      <w:t>- 1 -</w:t>
                    </w:r>
                    <w:r>
                      <w:rPr>
                        <w:rFonts w:ascii="仿宋" w:hAnsi="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left="320" w:leftChars="100" w:firstLine="140" w:firstLineChars="50"/>
      <w:rPr>
        <w:rFonts w:ascii="仿宋" w:hAnsi="仿宋"/>
      </w:rPr>
    </w:pPr>
    <w:r>
      <w:rPr>
        <w:rFonts w:ascii="仿宋" w:hAnsi="仿宋"/>
        <w:sz w:val="28"/>
        <w:szCs w:val="28"/>
      </w:rPr>
      <w:fldChar w:fldCharType="begin"/>
    </w:r>
    <w:r>
      <w:rPr>
        <w:rFonts w:ascii="仿宋" w:hAnsi="仿宋"/>
        <w:sz w:val="28"/>
        <w:szCs w:val="28"/>
      </w:rPr>
      <w:instrText xml:space="preserve">PAGE   \* MERGEFORMAT</w:instrText>
    </w:r>
    <w:r>
      <w:rPr>
        <w:rFonts w:ascii="仿宋" w:hAnsi="仿宋"/>
        <w:sz w:val="28"/>
        <w:szCs w:val="28"/>
      </w:rPr>
      <w:fldChar w:fldCharType="separate"/>
    </w:r>
    <w:r>
      <w:t>- 2 -</w:t>
    </w:r>
    <w:r>
      <w:rPr>
        <w:rFonts w:ascii="仿宋" w:hAnsi="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85B74"/>
    <w:rsid w:val="05C661A9"/>
    <w:rsid w:val="1F065E39"/>
    <w:rsid w:val="30385B74"/>
    <w:rsid w:val="385C39B3"/>
    <w:rsid w:val="3B29751D"/>
    <w:rsid w:val="3FA937FE"/>
    <w:rsid w:val="4645495C"/>
    <w:rsid w:val="4AA17E42"/>
    <w:rsid w:val="4CD65056"/>
    <w:rsid w:val="50EE2676"/>
    <w:rsid w:val="50F939EB"/>
    <w:rsid w:val="51B765A5"/>
    <w:rsid w:val="5DE049B7"/>
    <w:rsid w:val="625939B6"/>
    <w:rsid w:val="628B6887"/>
    <w:rsid w:val="701B7777"/>
    <w:rsid w:val="7041495F"/>
    <w:rsid w:val="7DE974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2020-07-24T01:18:00Z</dcterms:created>
  <dc:creator>孙英胜</dc:creator>
  <cp:lastModifiedBy>NTKO</cp:lastModifiedBy>
  <dcterms:modified xsi:type="dcterms:W3CDTF">2020-09-11T02:51:58Z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