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498" w:rsidRDefault="00131498">
      <w:bookmarkStart w:id="0" w:name="_GoBack"/>
      <w:bookmarkEnd w:id="0"/>
    </w:p>
    <w:p w:rsidR="00131498" w:rsidRDefault="00131498"/>
    <w:p w:rsidR="00131498" w:rsidRDefault="00131498"/>
    <w:tbl>
      <w:tblPr>
        <w:tblW w:w="8501" w:type="dxa"/>
        <w:tblInd w:w="-142" w:type="dxa"/>
        <w:tblLayout w:type="fixed"/>
        <w:tblCellMar>
          <w:left w:w="0" w:type="dxa"/>
          <w:right w:w="0" w:type="dxa"/>
        </w:tblCellMar>
        <w:tblLook w:val="04A0" w:firstRow="1" w:lastRow="0" w:firstColumn="1" w:lastColumn="0" w:noHBand="0" w:noVBand="1"/>
      </w:tblPr>
      <w:tblGrid>
        <w:gridCol w:w="852"/>
        <w:gridCol w:w="366"/>
        <w:gridCol w:w="604"/>
        <w:gridCol w:w="612"/>
        <w:gridCol w:w="77"/>
        <w:gridCol w:w="831"/>
        <w:gridCol w:w="305"/>
        <w:gridCol w:w="475"/>
        <w:gridCol w:w="738"/>
        <w:gridCol w:w="422"/>
        <w:gridCol w:w="177"/>
        <w:gridCol w:w="614"/>
        <w:gridCol w:w="723"/>
        <w:gridCol w:w="490"/>
        <w:gridCol w:w="1215"/>
      </w:tblGrid>
      <w:tr w:rsidR="00131498">
        <w:trPr>
          <w:trHeight w:val="535"/>
        </w:trPr>
        <w:tc>
          <w:tcPr>
            <w:tcW w:w="8501" w:type="dxa"/>
            <w:gridSpan w:val="15"/>
            <w:tcBorders>
              <w:top w:val="nil"/>
              <w:left w:val="nil"/>
              <w:bottom w:val="single" w:sz="4" w:space="0" w:color="auto"/>
              <w:right w:val="nil"/>
            </w:tcBorders>
            <w:shd w:val="clear" w:color="auto" w:fill="auto"/>
            <w:noWrap/>
            <w:tcMar>
              <w:top w:w="15" w:type="dxa"/>
              <w:left w:w="15" w:type="dxa"/>
              <w:bottom w:w="0" w:type="dxa"/>
              <w:right w:w="15" w:type="dxa"/>
            </w:tcMar>
          </w:tcPr>
          <w:p w:rsidR="00131498" w:rsidRDefault="001A70D0">
            <w:pPr>
              <w:jc w:val="center"/>
              <w:rPr>
                <w:rFonts w:cs="Arial"/>
                <w:b/>
                <w:bCs/>
                <w:color w:val="000000"/>
                <w:sz w:val="40"/>
                <w:szCs w:val="40"/>
              </w:rPr>
            </w:pPr>
            <w:r>
              <w:rPr>
                <w:rFonts w:cs="Arial" w:hint="eastAsia"/>
                <w:b/>
                <w:bCs/>
                <w:color w:val="000000"/>
                <w:sz w:val="40"/>
                <w:szCs w:val="40"/>
              </w:rPr>
              <w:t>苏州市级财政支出项目绩效自评价报告</w:t>
            </w:r>
          </w:p>
        </w:tc>
      </w:tr>
      <w:tr w:rsidR="00131498">
        <w:trPr>
          <w:trHeight w:val="472"/>
        </w:trPr>
        <w:tc>
          <w:tcPr>
            <w:tcW w:w="8501" w:type="dxa"/>
            <w:gridSpan w:val="1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b/>
                <w:bCs/>
                <w:color w:val="000000"/>
                <w:sz w:val="36"/>
                <w:szCs w:val="36"/>
              </w:rPr>
            </w:pPr>
            <w:r>
              <w:rPr>
                <w:rFonts w:cs="Arial" w:hint="eastAsia"/>
                <w:b/>
                <w:bCs/>
                <w:color w:val="000000"/>
                <w:sz w:val="36"/>
                <w:szCs w:val="36"/>
              </w:rPr>
              <w:t>苏州市级财政支出项目绩效自评表</w:t>
            </w:r>
          </w:p>
        </w:tc>
      </w:tr>
      <w:tr w:rsidR="00131498">
        <w:trPr>
          <w:trHeight w:val="394"/>
        </w:trPr>
        <w:tc>
          <w:tcPr>
            <w:tcW w:w="18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项目名称</w:t>
            </w:r>
          </w:p>
        </w:tc>
        <w:tc>
          <w:tcPr>
            <w:tcW w:w="3460"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安全生产专项资金</w:t>
            </w:r>
          </w:p>
        </w:tc>
        <w:tc>
          <w:tcPr>
            <w:tcW w:w="1514" w:type="dxa"/>
            <w:gridSpan w:val="3"/>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项目年份</w:t>
            </w:r>
          </w:p>
        </w:tc>
        <w:tc>
          <w:tcPr>
            <w:tcW w:w="1705"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2</w:t>
            </w:r>
            <w:r>
              <w:rPr>
                <w:rFonts w:ascii="宋体" w:hAnsi="宋体"/>
                <w:sz w:val="22"/>
              </w:rPr>
              <w:t>02</w:t>
            </w:r>
            <w:r>
              <w:rPr>
                <w:rFonts w:ascii="宋体" w:hAnsi="宋体" w:hint="eastAsia"/>
                <w:sz w:val="22"/>
              </w:rPr>
              <w:t>4</w:t>
            </w:r>
          </w:p>
        </w:tc>
      </w:tr>
      <w:tr w:rsidR="00131498">
        <w:trPr>
          <w:trHeight w:val="425"/>
        </w:trPr>
        <w:tc>
          <w:tcPr>
            <w:tcW w:w="182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项目主管部门</w:t>
            </w:r>
            <w:r>
              <w:rPr>
                <w:rFonts w:cs="Arial" w:hint="eastAsia"/>
                <w:color w:val="000000"/>
                <w:sz w:val="22"/>
              </w:rPr>
              <w:t>(</w:t>
            </w:r>
            <w:r>
              <w:rPr>
                <w:rFonts w:cs="Arial" w:hint="eastAsia"/>
                <w:color w:val="000000"/>
                <w:sz w:val="22"/>
              </w:rPr>
              <w:t>单位</w:t>
            </w:r>
            <w:r>
              <w:rPr>
                <w:rFonts w:cs="Arial" w:hint="eastAsia"/>
                <w:color w:val="000000"/>
                <w:sz w:val="22"/>
              </w:rPr>
              <w:t>)</w:t>
            </w:r>
          </w:p>
        </w:tc>
        <w:tc>
          <w:tcPr>
            <w:tcW w:w="6679" w:type="dxa"/>
            <w:gridSpan w:val="12"/>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苏州市应急管理局</w:t>
            </w:r>
          </w:p>
        </w:tc>
      </w:tr>
      <w:tr w:rsidR="00131498">
        <w:trPr>
          <w:trHeight w:val="535"/>
        </w:trPr>
        <w:tc>
          <w:tcPr>
            <w:tcW w:w="852"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市级预算执行情况（万元）</w:t>
            </w:r>
          </w:p>
        </w:tc>
        <w:tc>
          <w:tcPr>
            <w:tcW w:w="970"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年初预算数</w:t>
            </w:r>
          </w:p>
        </w:tc>
        <w:tc>
          <w:tcPr>
            <w:tcW w:w="2300" w:type="dxa"/>
            <w:gridSpan w:val="5"/>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overflowPunct w:val="0"/>
              <w:adjustRightInd w:val="0"/>
              <w:snapToGrid w:val="0"/>
              <w:jc w:val="center"/>
              <w:rPr>
                <w:snapToGrid w:val="0"/>
                <w:color w:val="000000"/>
                <w:kern w:val="0"/>
                <w:sz w:val="24"/>
                <w:szCs w:val="28"/>
              </w:rPr>
            </w:pPr>
            <w:r>
              <w:rPr>
                <w:rFonts w:hint="eastAsia"/>
                <w:snapToGrid w:val="0"/>
                <w:color w:val="000000"/>
                <w:kern w:val="0"/>
                <w:sz w:val="24"/>
                <w:szCs w:val="28"/>
              </w:rPr>
              <w:t>当年使用上年结余、</w:t>
            </w:r>
          </w:p>
          <w:p w:rsidR="00131498" w:rsidRDefault="001A70D0">
            <w:pPr>
              <w:jc w:val="center"/>
              <w:rPr>
                <w:rFonts w:cs="Arial"/>
                <w:color w:val="000000"/>
                <w:sz w:val="22"/>
              </w:rPr>
            </w:pPr>
            <w:r>
              <w:rPr>
                <w:rFonts w:hint="eastAsia"/>
                <w:snapToGrid w:val="0"/>
                <w:color w:val="000000"/>
                <w:spacing w:val="-10"/>
                <w:kern w:val="0"/>
                <w:sz w:val="24"/>
                <w:szCs w:val="28"/>
              </w:rPr>
              <w:t>结转及当年预算</w:t>
            </w:r>
            <w:r>
              <w:rPr>
                <w:rFonts w:hint="eastAsia"/>
                <w:snapToGrid w:val="0"/>
                <w:color w:val="000000"/>
                <w:spacing w:val="-10"/>
                <w:kern w:val="0"/>
                <w:sz w:val="24"/>
                <w:szCs w:val="28"/>
              </w:rPr>
              <w:t>追加追减数</w:t>
            </w:r>
          </w:p>
        </w:tc>
        <w:tc>
          <w:tcPr>
            <w:tcW w:w="1337" w:type="dxa"/>
            <w:gridSpan w:val="3"/>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财政拨款数</w:t>
            </w:r>
          </w:p>
        </w:tc>
        <w:tc>
          <w:tcPr>
            <w:tcW w:w="1337" w:type="dxa"/>
            <w:gridSpan w:val="2"/>
            <w:tcBorders>
              <w:top w:val="single" w:sz="4" w:space="0" w:color="000000"/>
              <w:left w:val="nil"/>
              <w:bottom w:val="single" w:sz="4" w:space="0" w:color="000000"/>
              <w:right w:val="single" w:sz="4" w:space="0" w:color="000000"/>
            </w:tcBorders>
            <w:shd w:val="clear" w:color="auto" w:fill="auto"/>
            <w:vAlign w:val="center"/>
          </w:tcPr>
          <w:p w:rsidR="00131498" w:rsidRDefault="001A70D0">
            <w:pPr>
              <w:jc w:val="center"/>
              <w:rPr>
                <w:rFonts w:cs="Arial"/>
                <w:color w:val="000000"/>
                <w:sz w:val="22"/>
              </w:rPr>
            </w:pPr>
            <w:r>
              <w:rPr>
                <w:rFonts w:cs="Arial" w:hint="eastAsia"/>
                <w:color w:val="000000"/>
                <w:sz w:val="22"/>
              </w:rPr>
              <w:t>指标结余数</w:t>
            </w:r>
          </w:p>
        </w:tc>
        <w:tc>
          <w:tcPr>
            <w:tcW w:w="1705"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指标结余收回数</w:t>
            </w:r>
          </w:p>
        </w:tc>
      </w:tr>
      <w:tr w:rsidR="00131498">
        <w:trPr>
          <w:trHeight w:val="441"/>
        </w:trPr>
        <w:tc>
          <w:tcPr>
            <w:tcW w:w="852" w:type="dxa"/>
            <w:vMerge/>
            <w:tcBorders>
              <w:top w:val="nil"/>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970"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3395.54</w:t>
            </w:r>
          </w:p>
        </w:tc>
        <w:tc>
          <w:tcPr>
            <w:tcW w:w="2300" w:type="dxa"/>
            <w:gridSpan w:val="5"/>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-100</w:t>
            </w:r>
          </w:p>
        </w:tc>
        <w:tc>
          <w:tcPr>
            <w:tcW w:w="1337" w:type="dxa"/>
            <w:gridSpan w:val="3"/>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3198.19</w:t>
            </w:r>
          </w:p>
        </w:tc>
        <w:tc>
          <w:tcPr>
            <w:tcW w:w="1337" w:type="dxa"/>
            <w:gridSpan w:val="2"/>
            <w:tcBorders>
              <w:top w:val="single" w:sz="4" w:space="0" w:color="000000"/>
              <w:left w:val="nil"/>
              <w:bottom w:val="single" w:sz="4" w:space="0" w:color="000000"/>
              <w:right w:val="single" w:sz="4" w:space="0" w:color="000000"/>
            </w:tcBorders>
            <w:shd w:val="clear" w:color="auto" w:fill="auto"/>
            <w:vAlign w:val="center"/>
          </w:tcPr>
          <w:p w:rsidR="00131498" w:rsidRDefault="001A70D0">
            <w:pPr>
              <w:jc w:val="center"/>
              <w:rPr>
                <w:rFonts w:cs="Arial"/>
                <w:color w:val="000000"/>
                <w:sz w:val="22"/>
              </w:rPr>
            </w:pPr>
            <w:r>
              <w:rPr>
                <w:rFonts w:ascii="宋体" w:hAnsi="宋体" w:hint="eastAsia"/>
                <w:sz w:val="22"/>
              </w:rPr>
              <w:t>97.35</w:t>
            </w:r>
          </w:p>
        </w:tc>
        <w:tc>
          <w:tcPr>
            <w:tcW w:w="1705"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97.35</w:t>
            </w:r>
          </w:p>
        </w:tc>
      </w:tr>
      <w:tr w:rsidR="00131498">
        <w:trPr>
          <w:trHeight w:val="346"/>
        </w:trPr>
        <w:tc>
          <w:tcPr>
            <w:tcW w:w="852" w:type="dxa"/>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市级财政资金使用情况（万元）</w:t>
            </w:r>
          </w:p>
        </w:tc>
        <w:tc>
          <w:tcPr>
            <w:tcW w:w="970" w:type="dxa"/>
            <w:gridSpan w:val="2"/>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财政拨款数</w:t>
            </w:r>
          </w:p>
        </w:tc>
        <w:tc>
          <w:tcPr>
            <w:tcW w:w="1520" w:type="dxa"/>
            <w:gridSpan w:val="3"/>
            <w:vMerge w:val="restart"/>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实际支付数</w:t>
            </w:r>
          </w:p>
        </w:tc>
        <w:tc>
          <w:tcPr>
            <w:tcW w:w="194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资金结余、结转数</w:t>
            </w:r>
          </w:p>
        </w:tc>
        <w:tc>
          <w:tcPr>
            <w:tcW w:w="3219" w:type="dxa"/>
            <w:gridSpan w:val="5"/>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其中：</w:t>
            </w:r>
          </w:p>
        </w:tc>
      </w:tr>
      <w:tr w:rsidR="00131498">
        <w:trPr>
          <w:trHeight w:val="378"/>
        </w:trPr>
        <w:tc>
          <w:tcPr>
            <w:tcW w:w="852" w:type="dxa"/>
            <w:vMerge/>
            <w:tcBorders>
              <w:top w:val="nil"/>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970" w:type="dxa"/>
            <w:gridSpan w:val="2"/>
            <w:vMerge/>
            <w:tcBorders>
              <w:top w:val="nil"/>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1520" w:type="dxa"/>
            <w:gridSpan w:val="3"/>
            <w:vMerge/>
            <w:tcBorders>
              <w:top w:val="nil"/>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1940" w:type="dxa"/>
            <w:gridSpan w:val="4"/>
            <w:vMerge/>
            <w:tcBorders>
              <w:top w:val="single" w:sz="4" w:space="0" w:color="000000"/>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1514" w:type="dxa"/>
            <w:gridSpan w:val="3"/>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结转数</w:t>
            </w:r>
          </w:p>
        </w:tc>
        <w:tc>
          <w:tcPr>
            <w:tcW w:w="1705"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财政收回数</w:t>
            </w:r>
          </w:p>
        </w:tc>
      </w:tr>
      <w:tr w:rsidR="00131498">
        <w:trPr>
          <w:trHeight w:val="630"/>
        </w:trPr>
        <w:tc>
          <w:tcPr>
            <w:tcW w:w="852" w:type="dxa"/>
            <w:vMerge/>
            <w:tcBorders>
              <w:top w:val="nil"/>
              <w:left w:val="single" w:sz="4" w:space="0" w:color="000000"/>
              <w:bottom w:val="single" w:sz="4" w:space="0" w:color="000000"/>
              <w:right w:val="single" w:sz="4" w:space="0" w:color="000000"/>
            </w:tcBorders>
            <w:vAlign w:val="center"/>
          </w:tcPr>
          <w:p w:rsidR="00131498" w:rsidRDefault="00131498">
            <w:pPr>
              <w:rPr>
                <w:rFonts w:cs="Arial"/>
                <w:color w:val="000000"/>
                <w:sz w:val="22"/>
              </w:rPr>
            </w:pPr>
          </w:p>
        </w:tc>
        <w:tc>
          <w:tcPr>
            <w:tcW w:w="970"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3198.19</w:t>
            </w:r>
          </w:p>
        </w:tc>
        <w:tc>
          <w:tcPr>
            <w:tcW w:w="1520" w:type="dxa"/>
            <w:gridSpan w:val="3"/>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3198.19</w:t>
            </w:r>
          </w:p>
        </w:tc>
        <w:tc>
          <w:tcPr>
            <w:tcW w:w="1940" w:type="dxa"/>
            <w:gridSpan w:val="4"/>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ascii="宋体" w:hAnsi="宋体" w:hint="eastAsia"/>
                <w:sz w:val="22"/>
              </w:rPr>
              <w:t>0</w:t>
            </w:r>
          </w:p>
        </w:tc>
        <w:tc>
          <w:tcPr>
            <w:tcW w:w="1514" w:type="dxa"/>
            <w:gridSpan w:val="3"/>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31498">
            <w:pPr>
              <w:jc w:val="center"/>
              <w:rPr>
                <w:rFonts w:cs="Arial"/>
                <w:color w:val="000000"/>
                <w:sz w:val="22"/>
              </w:rPr>
            </w:pPr>
          </w:p>
        </w:tc>
        <w:tc>
          <w:tcPr>
            <w:tcW w:w="1705" w:type="dxa"/>
            <w:gridSpan w:val="2"/>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31498">
            <w:pPr>
              <w:jc w:val="center"/>
              <w:rPr>
                <w:rFonts w:cs="Arial"/>
                <w:color w:val="000000"/>
                <w:sz w:val="22"/>
              </w:rPr>
            </w:pP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7"/>
        </w:trPr>
        <w:tc>
          <w:tcPr>
            <w:tcW w:w="850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项目资金构成（详细列出各子项目名称和金额）</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7"/>
        </w:trPr>
        <w:tc>
          <w:tcPr>
            <w:tcW w:w="2511"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宋体"/>
                <w:color w:val="000000"/>
                <w:sz w:val="20"/>
              </w:rPr>
              <w:t>子项名称</w:t>
            </w:r>
          </w:p>
        </w:tc>
        <w:tc>
          <w:tcPr>
            <w:tcW w:w="2771"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调整</w:t>
            </w:r>
            <w:r>
              <w:rPr>
                <w:rFonts w:ascii="宋体" w:hAnsi="宋体" w:cs="Arial" w:hint="eastAsia"/>
                <w:color w:val="000000"/>
                <w:kern w:val="0"/>
                <w:sz w:val="20"/>
                <w:szCs w:val="20"/>
              </w:rPr>
              <w:t>预算数（万元）</w:t>
            </w:r>
          </w:p>
        </w:tc>
        <w:tc>
          <w:tcPr>
            <w:tcW w:w="3219"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实际</w:t>
            </w:r>
            <w:r>
              <w:rPr>
                <w:rFonts w:ascii="宋体" w:hAnsi="宋体" w:cs="Arial" w:hint="eastAsia"/>
                <w:color w:val="000000"/>
                <w:kern w:val="0"/>
                <w:sz w:val="20"/>
                <w:szCs w:val="20"/>
              </w:rPr>
              <w:t>支出</w:t>
            </w:r>
            <w:r>
              <w:rPr>
                <w:rFonts w:ascii="宋体" w:hAnsi="宋体" w:cs="Arial" w:hint="eastAsia"/>
                <w:color w:val="000000"/>
                <w:kern w:val="0"/>
                <w:sz w:val="20"/>
                <w:szCs w:val="20"/>
              </w:rPr>
              <w:t>数（万元）</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251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合计</w:t>
            </w:r>
          </w:p>
        </w:tc>
        <w:tc>
          <w:tcPr>
            <w:tcW w:w="277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3395.54</w:t>
            </w:r>
          </w:p>
        </w:tc>
        <w:tc>
          <w:tcPr>
            <w:tcW w:w="3219"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3198.19</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251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自然灾害民生综合保险理赔项目</w:t>
            </w:r>
          </w:p>
        </w:tc>
        <w:tc>
          <w:tcPr>
            <w:tcW w:w="277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3219"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34.90</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251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安全生产、应急管理核查服务等</w:t>
            </w:r>
          </w:p>
        </w:tc>
        <w:tc>
          <w:tcPr>
            <w:tcW w:w="277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2984.54</w:t>
            </w:r>
          </w:p>
        </w:tc>
        <w:tc>
          <w:tcPr>
            <w:tcW w:w="3219"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2815.44</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251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市考试中心项目</w:t>
            </w:r>
          </w:p>
        </w:tc>
        <w:tc>
          <w:tcPr>
            <w:tcW w:w="2771"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376</w:t>
            </w:r>
          </w:p>
        </w:tc>
        <w:tc>
          <w:tcPr>
            <w:tcW w:w="3219" w:type="dxa"/>
            <w:gridSpan w:val="5"/>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347.85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7"/>
        </w:trPr>
        <w:tc>
          <w:tcPr>
            <w:tcW w:w="1218"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宋体"/>
                <w:color w:val="000000"/>
                <w:sz w:val="20"/>
              </w:rPr>
              <w:t>项目</w:t>
            </w:r>
          </w:p>
        </w:tc>
        <w:tc>
          <w:tcPr>
            <w:tcW w:w="121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类别</w:t>
            </w:r>
          </w:p>
        </w:tc>
        <w:tc>
          <w:tcPr>
            <w:tcW w:w="1213"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指标名称</w:t>
            </w:r>
          </w:p>
        </w:tc>
        <w:tc>
          <w:tcPr>
            <w:tcW w:w="1213"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目标值</w:t>
            </w:r>
          </w:p>
        </w:tc>
        <w:tc>
          <w:tcPr>
            <w:tcW w:w="1213"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权重</w:t>
            </w:r>
          </w:p>
        </w:tc>
        <w:tc>
          <w:tcPr>
            <w:tcW w:w="1213"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实际完成值</w:t>
            </w:r>
          </w:p>
        </w:tc>
        <w:tc>
          <w:tcPr>
            <w:tcW w:w="1215" w:type="dxa"/>
            <w:tcBorders>
              <w:top w:val="single" w:sz="4" w:space="0" w:color="auto"/>
              <w:left w:val="single" w:sz="4" w:space="0" w:color="auto"/>
              <w:bottom w:val="single" w:sz="4" w:space="0" w:color="auto"/>
              <w:right w:val="single" w:sz="4" w:space="0" w:color="auto"/>
            </w:tcBorders>
            <w:shd w:val="clear" w:color="auto" w:fill="BFBFBF"/>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自评分</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val="restart"/>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项目绩效实现情况（</w:t>
            </w:r>
            <w:r>
              <w:rPr>
                <w:rFonts w:ascii="宋体" w:hAnsi="宋体" w:cs="Arial" w:hint="eastAsia"/>
                <w:color w:val="000000"/>
                <w:kern w:val="0"/>
                <w:sz w:val="20"/>
                <w:szCs w:val="20"/>
              </w:rPr>
              <w:t>80</w:t>
            </w:r>
            <w:r>
              <w:rPr>
                <w:rFonts w:ascii="宋体" w:hAnsi="宋体" w:cs="Arial" w:hint="eastAsia"/>
                <w:color w:val="000000"/>
                <w:kern w:val="0"/>
                <w:sz w:val="20"/>
                <w:szCs w:val="20"/>
              </w:rPr>
              <w:t>分）</w:t>
            </w:r>
          </w:p>
        </w:tc>
        <w:tc>
          <w:tcPr>
            <w:tcW w:w="1216" w:type="dxa"/>
            <w:gridSpan w:val="2"/>
            <w:vMerge w:val="restart"/>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决策目标</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立项程序规范性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规范</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立项依据充分性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充分</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绩效目标合理性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合理</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绩效指标明确性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明确</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资金分配合理性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合理</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预算编制科学性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科学</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val="restart"/>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过程目标</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资金使用合</w:t>
            </w:r>
            <w:proofErr w:type="gramStart"/>
            <w:r>
              <w:rPr>
                <w:rFonts w:ascii="宋体" w:hAnsi="宋体" w:cs="Arial" w:hint="eastAsia"/>
                <w:color w:val="000000"/>
                <w:kern w:val="0"/>
                <w:sz w:val="20"/>
                <w:szCs w:val="20"/>
              </w:rPr>
              <w:t>规</w:t>
            </w:r>
            <w:proofErr w:type="gramEnd"/>
            <w:r>
              <w:rPr>
                <w:rFonts w:ascii="宋体" w:hAnsi="宋体" w:cs="Arial" w:hint="eastAsia"/>
                <w:color w:val="000000"/>
                <w:kern w:val="0"/>
                <w:sz w:val="20"/>
                <w:szCs w:val="20"/>
              </w:rPr>
              <w:t>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合</w:t>
            </w:r>
            <w:proofErr w:type="gramStart"/>
            <w:r>
              <w:rPr>
                <w:rFonts w:ascii="宋体" w:hAnsi="宋体" w:cs="Arial" w:hint="eastAsia"/>
                <w:color w:val="000000"/>
                <w:kern w:val="0"/>
                <w:sz w:val="20"/>
                <w:szCs w:val="20"/>
              </w:rPr>
              <w:t>规</w:t>
            </w:r>
            <w:proofErr w:type="gramEnd"/>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预算执行率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8</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8</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资金到位率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制度执行有效性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有效</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管理制度健全性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健全</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val="restart"/>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产出目标</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proofErr w:type="gramStart"/>
            <w:r>
              <w:rPr>
                <w:rFonts w:ascii="宋体" w:hAnsi="宋体" w:cs="Arial" w:hint="eastAsia"/>
                <w:color w:val="000000"/>
                <w:kern w:val="0"/>
                <w:sz w:val="20"/>
                <w:szCs w:val="20"/>
              </w:rPr>
              <w:t>粉尘涉爆深度</w:t>
            </w:r>
            <w:proofErr w:type="gramEnd"/>
            <w:r>
              <w:rPr>
                <w:rFonts w:ascii="宋体" w:hAnsi="宋体" w:cs="Arial" w:hint="eastAsia"/>
                <w:color w:val="000000"/>
                <w:kern w:val="0"/>
                <w:sz w:val="20"/>
                <w:szCs w:val="20"/>
              </w:rPr>
              <w:t>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=231</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272</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市考试中心场地租赁面积</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=3500</w:t>
            </w:r>
            <w:r>
              <w:rPr>
                <w:rFonts w:ascii="宋体" w:hAnsi="宋体" w:cs="Arial" w:hint="eastAsia"/>
                <w:color w:val="000000"/>
                <w:kern w:val="0"/>
                <w:sz w:val="20"/>
                <w:szCs w:val="20"/>
              </w:rPr>
              <w:t>平方米</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3503</w:t>
            </w:r>
            <w:r>
              <w:rPr>
                <w:rFonts w:ascii="宋体" w:hAnsi="宋体" w:cs="Arial" w:hint="eastAsia"/>
                <w:color w:val="000000"/>
                <w:kern w:val="0"/>
                <w:sz w:val="20"/>
                <w:szCs w:val="20"/>
              </w:rPr>
              <w:t>平方米</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苏州市重点“厂中厂”安全管理调研分析报告</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r>
              <w:rPr>
                <w:rFonts w:ascii="宋体" w:hAnsi="宋体" w:cs="Arial" w:hint="eastAsia"/>
                <w:color w:val="000000"/>
                <w:kern w:val="0"/>
                <w:sz w:val="20"/>
                <w:szCs w:val="20"/>
              </w:rPr>
              <w:t>份</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w:t>
            </w:r>
            <w:r>
              <w:rPr>
                <w:rFonts w:ascii="宋体" w:hAnsi="宋体" w:cs="Arial" w:hint="eastAsia"/>
                <w:color w:val="000000"/>
                <w:kern w:val="0"/>
                <w:sz w:val="20"/>
                <w:szCs w:val="20"/>
              </w:rPr>
              <w:t>份</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化工园区</w:t>
            </w:r>
            <w:proofErr w:type="gramStart"/>
            <w:r>
              <w:rPr>
                <w:rFonts w:ascii="宋体" w:hAnsi="宋体" w:cs="Arial" w:hint="eastAsia"/>
                <w:color w:val="000000"/>
                <w:kern w:val="0"/>
                <w:sz w:val="20"/>
                <w:szCs w:val="20"/>
              </w:rPr>
              <w:t>外危险</w:t>
            </w:r>
            <w:proofErr w:type="gramEnd"/>
            <w:r>
              <w:rPr>
                <w:rFonts w:ascii="宋体" w:hAnsi="宋体" w:cs="Arial" w:hint="eastAsia"/>
                <w:color w:val="000000"/>
                <w:kern w:val="0"/>
                <w:sz w:val="20"/>
                <w:szCs w:val="20"/>
              </w:rPr>
              <w:t>化学品企业安全审计企业数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核查安全评价项目个数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=60</w:t>
            </w:r>
            <w:r>
              <w:rPr>
                <w:rFonts w:ascii="宋体" w:hAnsi="宋体" w:cs="Arial" w:hint="eastAsia"/>
                <w:color w:val="000000"/>
                <w:kern w:val="0"/>
                <w:sz w:val="20"/>
                <w:szCs w:val="20"/>
              </w:rPr>
              <w:t>个</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60</w:t>
            </w:r>
            <w:r>
              <w:rPr>
                <w:rFonts w:ascii="宋体" w:hAnsi="宋体" w:cs="Arial" w:hint="eastAsia"/>
                <w:color w:val="000000"/>
                <w:kern w:val="0"/>
                <w:sz w:val="20"/>
                <w:szCs w:val="20"/>
              </w:rPr>
              <w:t>个</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应急预案修编个数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w:t>
            </w:r>
            <w:r>
              <w:rPr>
                <w:rFonts w:ascii="宋体" w:hAnsi="宋体" w:cs="Arial" w:hint="eastAsia"/>
                <w:color w:val="000000"/>
                <w:kern w:val="0"/>
                <w:sz w:val="20"/>
                <w:szCs w:val="20"/>
              </w:rPr>
              <w:t>个</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w:t>
            </w:r>
            <w:r>
              <w:rPr>
                <w:rFonts w:ascii="宋体" w:hAnsi="宋体" w:cs="Arial" w:hint="eastAsia"/>
                <w:color w:val="000000"/>
                <w:kern w:val="0"/>
                <w:sz w:val="20"/>
                <w:szCs w:val="20"/>
              </w:rPr>
              <w:t>个</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自然灾害家庭财产保险理赔户数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=37</w:t>
            </w:r>
            <w:r>
              <w:rPr>
                <w:rFonts w:ascii="宋体" w:hAnsi="宋体" w:cs="Arial" w:hint="eastAsia"/>
                <w:color w:val="000000"/>
                <w:kern w:val="0"/>
                <w:sz w:val="20"/>
                <w:szCs w:val="20"/>
              </w:rPr>
              <w:t>户</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37</w:t>
            </w:r>
            <w:r>
              <w:rPr>
                <w:rFonts w:ascii="宋体" w:hAnsi="宋体" w:cs="Arial" w:hint="eastAsia"/>
                <w:color w:val="000000"/>
                <w:kern w:val="0"/>
                <w:sz w:val="20"/>
                <w:szCs w:val="20"/>
              </w:rPr>
              <w:t>户</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喷涂企业深度核查家数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=45</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钢铁行业煤气等重大危险源深度核查企业数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=4</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1.4</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4</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1.4</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安全生产督导巡查次数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=7</w:t>
            </w:r>
            <w:r>
              <w:rPr>
                <w:rFonts w:ascii="宋体" w:hAnsi="宋体" w:cs="Arial" w:hint="eastAsia"/>
                <w:color w:val="000000"/>
                <w:kern w:val="0"/>
                <w:sz w:val="20"/>
                <w:szCs w:val="20"/>
              </w:rPr>
              <w:t>次</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8</w:t>
            </w:r>
            <w:r>
              <w:rPr>
                <w:rFonts w:ascii="宋体" w:hAnsi="宋体" w:cs="Arial" w:hint="eastAsia"/>
                <w:color w:val="000000"/>
                <w:kern w:val="0"/>
                <w:sz w:val="20"/>
                <w:szCs w:val="20"/>
              </w:rPr>
              <w:t>次</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危险化学品安全技术支撑指导编制文件份数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=24</w:t>
            </w:r>
            <w:r>
              <w:rPr>
                <w:rFonts w:ascii="宋体" w:hAnsi="宋体" w:cs="Arial" w:hint="eastAsia"/>
                <w:color w:val="000000"/>
                <w:kern w:val="0"/>
                <w:sz w:val="20"/>
                <w:szCs w:val="20"/>
              </w:rPr>
              <w:t>份</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24</w:t>
            </w:r>
            <w:r>
              <w:rPr>
                <w:rFonts w:ascii="宋体" w:hAnsi="宋体" w:cs="Arial" w:hint="eastAsia"/>
                <w:color w:val="000000"/>
                <w:kern w:val="0"/>
                <w:sz w:val="20"/>
                <w:szCs w:val="20"/>
              </w:rPr>
              <w:t>份</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危险化学品经营许可现场核查企业数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=170</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180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老旧装置更新改造指导服务企业家数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=53</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60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标准化质量审计服务企业数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=90</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重点冶金熔融铸造、深井铸造企业深度核查企业数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=55</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63</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化学原料药制造企业深度核查企业数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w:t>
            </w:r>
            <w:r>
              <w:rPr>
                <w:rFonts w:ascii="宋体" w:hAnsi="宋体" w:cs="Arial" w:hint="eastAsia"/>
                <w:color w:val="000000"/>
                <w:kern w:val="0"/>
                <w:sz w:val="20"/>
                <w:szCs w:val="20"/>
              </w:rPr>
              <w:t>家</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w:t>
            </w:r>
            <w:r>
              <w:rPr>
                <w:rFonts w:ascii="宋体" w:hAnsi="宋体" w:cs="Arial" w:hint="eastAsia"/>
                <w:color w:val="000000"/>
                <w:kern w:val="0"/>
                <w:sz w:val="20"/>
                <w:szCs w:val="20"/>
              </w:rPr>
              <w:t>家</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自然灾害公众责任保险理赔户数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w:t>
            </w:r>
            <w:r>
              <w:rPr>
                <w:rFonts w:ascii="宋体" w:hAnsi="宋体" w:cs="Arial" w:hint="eastAsia"/>
                <w:color w:val="000000"/>
                <w:kern w:val="0"/>
                <w:sz w:val="20"/>
                <w:szCs w:val="20"/>
              </w:rPr>
              <w:t>户</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w:t>
            </w:r>
            <w:r>
              <w:rPr>
                <w:rFonts w:ascii="宋体" w:hAnsi="宋体" w:cs="Arial" w:hint="eastAsia"/>
                <w:color w:val="000000"/>
                <w:kern w:val="0"/>
                <w:sz w:val="20"/>
                <w:szCs w:val="20"/>
              </w:rPr>
              <w:t>户</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重点“厂中厂”核查企业数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=9500</w:t>
            </w:r>
            <w:r>
              <w:rPr>
                <w:rFonts w:ascii="宋体" w:hAnsi="宋体" w:cs="Arial" w:hint="eastAsia"/>
                <w:color w:val="000000"/>
                <w:kern w:val="0"/>
                <w:sz w:val="20"/>
                <w:szCs w:val="20"/>
              </w:rPr>
              <w:t>栋</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13392</w:t>
            </w:r>
            <w:r>
              <w:rPr>
                <w:rFonts w:ascii="宋体" w:hAnsi="宋体" w:cs="Arial" w:hint="eastAsia"/>
                <w:color w:val="000000"/>
                <w:kern w:val="0"/>
                <w:sz w:val="20"/>
                <w:szCs w:val="20"/>
              </w:rPr>
              <w:t>栋</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1.16</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安全生产责任保险评估技术服务核查保单数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=1000</w:t>
            </w:r>
            <w:r>
              <w:rPr>
                <w:rFonts w:ascii="宋体" w:hAnsi="宋体" w:cs="Arial" w:hint="eastAsia"/>
                <w:color w:val="000000"/>
                <w:kern w:val="0"/>
                <w:sz w:val="20"/>
                <w:szCs w:val="20"/>
              </w:rPr>
              <w:t>份</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1020</w:t>
            </w:r>
            <w:r>
              <w:rPr>
                <w:rFonts w:ascii="宋体" w:hAnsi="宋体" w:cs="Arial" w:hint="eastAsia"/>
                <w:color w:val="000000"/>
                <w:kern w:val="0"/>
                <w:sz w:val="20"/>
                <w:szCs w:val="20"/>
              </w:rPr>
              <w:t>份</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隐患举报奖励对象政策符合度</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临换证危化品生产（使用）企业现场核查率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规范生产考试考核行为</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规范</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理赔及时性</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&lt;=30</w:t>
            </w:r>
            <w:r>
              <w:rPr>
                <w:rFonts w:ascii="宋体" w:hAnsi="宋体" w:cs="Arial" w:hint="eastAsia"/>
                <w:color w:val="000000"/>
                <w:kern w:val="0"/>
                <w:sz w:val="20"/>
                <w:szCs w:val="20"/>
              </w:rPr>
              <w:t>天</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30</w:t>
            </w:r>
            <w:r>
              <w:rPr>
                <w:rFonts w:ascii="宋体" w:hAnsi="宋体" w:cs="Arial" w:hint="eastAsia"/>
                <w:color w:val="000000"/>
                <w:kern w:val="0"/>
                <w:sz w:val="20"/>
                <w:szCs w:val="20"/>
              </w:rPr>
              <w:t>天</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1.3</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val="restart"/>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效益目标</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安全生产和自然灾害问题</w:t>
            </w:r>
            <w:proofErr w:type="gramStart"/>
            <w:r>
              <w:rPr>
                <w:rFonts w:ascii="宋体" w:hAnsi="宋体" w:cs="Arial" w:hint="eastAsia"/>
                <w:color w:val="000000"/>
                <w:kern w:val="0"/>
                <w:sz w:val="20"/>
                <w:szCs w:val="20"/>
              </w:rPr>
              <w:t>清单化治</w:t>
            </w:r>
            <w:proofErr w:type="gramEnd"/>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w:t>
            </w:r>
            <w:r>
              <w:rPr>
                <w:rFonts w:ascii="宋体" w:hAnsi="宋体" w:cs="Arial" w:hint="eastAsia"/>
                <w:color w:val="000000"/>
                <w:kern w:val="0"/>
                <w:sz w:val="20"/>
                <w:szCs w:val="20"/>
              </w:rPr>
              <w:t>批</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12</w:t>
            </w:r>
            <w:r>
              <w:rPr>
                <w:rFonts w:ascii="宋体" w:hAnsi="宋体" w:cs="Arial" w:hint="eastAsia"/>
                <w:color w:val="000000"/>
                <w:kern w:val="0"/>
                <w:sz w:val="20"/>
                <w:szCs w:val="20"/>
              </w:rPr>
              <w:t>批</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重点危化品企业监测预警系统年度平均</w:t>
            </w:r>
            <w:proofErr w:type="gramStart"/>
            <w:r>
              <w:rPr>
                <w:rFonts w:ascii="宋体" w:hAnsi="宋体" w:cs="Arial" w:hint="eastAsia"/>
                <w:color w:val="000000"/>
                <w:kern w:val="0"/>
                <w:sz w:val="20"/>
                <w:szCs w:val="20"/>
              </w:rPr>
              <w:t>在线率</w:t>
            </w:r>
            <w:proofErr w:type="gramEnd"/>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&gt;=95</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96</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因灾受损理赔结案率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100%</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市考试中心租赁面积使用率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&gt;=95</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95</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亿元</w:t>
            </w:r>
            <w:r>
              <w:rPr>
                <w:rFonts w:ascii="宋体" w:hAnsi="宋体" w:cs="Arial" w:hint="eastAsia"/>
                <w:color w:val="000000"/>
                <w:kern w:val="0"/>
                <w:sz w:val="20"/>
                <w:szCs w:val="20"/>
              </w:rPr>
              <w:t>GDP</w:t>
            </w:r>
            <w:r>
              <w:rPr>
                <w:rFonts w:ascii="宋体" w:hAnsi="宋体" w:cs="Arial" w:hint="eastAsia"/>
                <w:color w:val="000000"/>
                <w:kern w:val="0"/>
                <w:sz w:val="20"/>
                <w:szCs w:val="20"/>
              </w:rPr>
              <w:t>死亡率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&lt;=0.01</w:t>
            </w:r>
            <w:r>
              <w:rPr>
                <w:rFonts w:ascii="宋体" w:hAnsi="宋体" w:cs="Arial" w:hint="eastAsia"/>
                <w:color w:val="000000"/>
                <w:kern w:val="0"/>
                <w:sz w:val="20"/>
                <w:szCs w:val="20"/>
              </w:rPr>
              <w:t>人</w:t>
            </w:r>
            <w:r>
              <w:rPr>
                <w:rFonts w:ascii="宋体" w:hAnsi="宋体" w:cs="Arial" w:hint="eastAsia"/>
                <w:color w:val="000000"/>
                <w:kern w:val="0"/>
                <w:sz w:val="20"/>
                <w:szCs w:val="20"/>
              </w:rPr>
              <w:t>/</w:t>
            </w:r>
            <w:r>
              <w:rPr>
                <w:rFonts w:ascii="宋体" w:hAnsi="宋体" w:cs="Arial" w:hint="eastAsia"/>
                <w:color w:val="000000"/>
                <w:kern w:val="0"/>
                <w:sz w:val="20"/>
                <w:szCs w:val="20"/>
              </w:rPr>
              <w:t>亿元</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0.002</w:t>
            </w:r>
            <w:r>
              <w:rPr>
                <w:rFonts w:ascii="宋体" w:hAnsi="宋体" w:cs="Arial" w:hint="eastAsia"/>
                <w:color w:val="000000"/>
                <w:kern w:val="0"/>
                <w:sz w:val="20"/>
                <w:szCs w:val="20"/>
              </w:rPr>
              <w:t>人</w:t>
            </w:r>
            <w:r>
              <w:rPr>
                <w:rFonts w:ascii="宋体" w:hAnsi="宋体" w:cs="Arial" w:hint="eastAsia"/>
                <w:color w:val="000000"/>
                <w:kern w:val="0"/>
                <w:sz w:val="20"/>
                <w:szCs w:val="20"/>
              </w:rPr>
              <w:t>/</w:t>
            </w:r>
            <w:r>
              <w:rPr>
                <w:rFonts w:ascii="宋体" w:hAnsi="宋体" w:cs="Arial" w:hint="eastAsia"/>
                <w:color w:val="000000"/>
                <w:kern w:val="0"/>
                <w:sz w:val="20"/>
                <w:szCs w:val="20"/>
              </w:rPr>
              <w:t>亿元</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控制较大生产安全死亡事故起数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&lt;=4</w:t>
            </w:r>
            <w:r>
              <w:rPr>
                <w:rFonts w:ascii="宋体" w:hAnsi="宋体" w:cs="Arial" w:hint="eastAsia"/>
                <w:color w:val="000000"/>
                <w:kern w:val="0"/>
                <w:sz w:val="20"/>
                <w:szCs w:val="20"/>
              </w:rPr>
              <w:t>起</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2</w:t>
            </w:r>
            <w:r>
              <w:rPr>
                <w:rFonts w:ascii="宋体" w:hAnsi="宋体" w:cs="Arial" w:hint="eastAsia"/>
                <w:color w:val="000000"/>
                <w:kern w:val="0"/>
                <w:sz w:val="20"/>
                <w:szCs w:val="20"/>
              </w:rPr>
              <w:t>起</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临换证危化品生产（使用）企业到期换证率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&gt;=95</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95</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重点“厂中厂”核查隐患整改率</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&gt;=95</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95</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消除影响人们群众生命、财产安全的重大事故隐患</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=50</w:t>
            </w:r>
            <w:r>
              <w:rPr>
                <w:rFonts w:ascii="宋体" w:hAnsi="宋体" w:cs="Arial" w:hint="eastAsia"/>
                <w:color w:val="000000"/>
                <w:kern w:val="0"/>
                <w:sz w:val="20"/>
                <w:szCs w:val="20"/>
              </w:rPr>
              <w:t>个</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64</w:t>
            </w:r>
            <w:r>
              <w:rPr>
                <w:rFonts w:ascii="宋体" w:hAnsi="宋体" w:cs="Arial" w:hint="eastAsia"/>
                <w:color w:val="000000"/>
                <w:kern w:val="0"/>
                <w:sz w:val="20"/>
                <w:szCs w:val="20"/>
              </w:rPr>
              <w:t>个</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1218"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6" w:type="dxa"/>
            <w:gridSpan w:val="2"/>
            <w:vMerge/>
            <w:tcBorders>
              <w:top w:val="single" w:sz="4" w:space="0" w:color="auto"/>
              <w:left w:val="single" w:sz="4" w:space="0" w:color="auto"/>
              <w:bottom w:val="single" w:sz="4" w:space="0" w:color="auto"/>
              <w:right w:val="single" w:sz="4" w:space="0" w:color="auto"/>
            </w:tcBorders>
            <w:vAlign w:val="center"/>
          </w:tcPr>
          <w:p w:rsidR="00131498" w:rsidRDefault="00131498">
            <w:pPr>
              <w:widowControl/>
              <w:jc w:val="left"/>
              <w:rPr>
                <w:rFonts w:ascii="宋体" w:hAnsi="宋体" w:cs="Arial"/>
                <w:color w:val="000000"/>
                <w:kern w:val="0"/>
                <w:sz w:val="20"/>
                <w:szCs w:val="20"/>
              </w:rPr>
            </w:pP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三项岗位</w:t>
            </w:r>
            <w:proofErr w:type="gramStart"/>
            <w:r>
              <w:rPr>
                <w:rFonts w:ascii="宋体" w:hAnsi="宋体" w:cs="Arial" w:hint="eastAsia"/>
                <w:color w:val="000000"/>
                <w:kern w:val="0"/>
                <w:sz w:val="20"/>
                <w:szCs w:val="20"/>
              </w:rPr>
              <w:t>”</w:t>
            </w:r>
            <w:proofErr w:type="gramEnd"/>
            <w:r>
              <w:rPr>
                <w:rFonts w:ascii="宋体" w:hAnsi="宋体" w:cs="Arial" w:hint="eastAsia"/>
                <w:color w:val="000000"/>
                <w:kern w:val="0"/>
                <w:sz w:val="20"/>
                <w:szCs w:val="20"/>
              </w:rPr>
              <w:t>人员考试人数</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=35000</w:t>
            </w:r>
            <w:r>
              <w:rPr>
                <w:rFonts w:ascii="宋体" w:hAnsi="宋体" w:cs="Arial" w:hint="eastAsia"/>
                <w:color w:val="000000"/>
                <w:kern w:val="0"/>
                <w:sz w:val="20"/>
                <w:szCs w:val="20"/>
              </w:rPr>
              <w:t>人</w:t>
            </w:r>
          </w:p>
        </w:tc>
        <w:tc>
          <w:tcPr>
            <w:tcW w:w="1213" w:type="dxa"/>
            <w:gridSpan w:val="3"/>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c>
          <w:tcPr>
            <w:tcW w:w="1213" w:type="dxa"/>
            <w:gridSpan w:val="2"/>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55594</w:t>
            </w:r>
            <w:r>
              <w:rPr>
                <w:rFonts w:ascii="宋体" w:hAnsi="宋体" w:cs="Arial" w:hint="eastAsia"/>
                <w:color w:val="000000"/>
                <w:kern w:val="0"/>
                <w:sz w:val="20"/>
                <w:szCs w:val="20"/>
              </w:rPr>
              <w:t>人</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cs="Arial" w:hint="eastAsia"/>
                <w:color w:val="000000"/>
                <w:kern w:val="0"/>
                <w:sz w:val="20"/>
                <w:szCs w:val="20"/>
              </w:rPr>
              <w:t>3.5</w:t>
            </w:r>
          </w:p>
        </w:tc>
      </w:tr>
      <w:tr w:rsidR="001314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5"/>
        </w:trPr>
        <w:tc>
          <w:tcPr>
            <w:tcW w:w="7286" w:type="dxa"/>
            <w:gridSpan w:val="14"/>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center"/>
              <w:rPr>
                <w:rFonts w:ascii="宋体" w:hAnsi="宋体" w:cs="Arial"/>
                <w:color w:val="000000"/>
                <w:kern w:val="0"/>
                <w:sz w:val="20"/>
                <w:szCs w:val="20"/>
              </w:rPr>
            </w:pPr>
            <w:r>
              <w:rPr>
                <w:rFonts w:ascii="宋体" w:hAnsi="宋体" w:cs="Arial" w:hint="eastAsia"/>
                <w:color w:val="000000"/>
                <w:kern w:val="0"/>
                <w:sz w:val="20"/>
                <w:szCs w:val="20"/>
              </w:rPr>
              <w:t>合计</w:t>
            </w:r>
          </w:p>
        </w:tc>
        <w:tc>
          <w:tcPr>
            <w:tcW w:w="1215" w:type="dxa"/>
            <w:tcBorders>
              <w:top w:val="single" w:sz="4" w:space="0" w:color="auto"/>
              <w:left w:val="single" w:sz="4" w:space="0" w:color="auto"/>
              <w:bottom w:val="single" w:sz="4" w:space="0" w:color="auto"/>
              <w:right w:val="single" w:sz="4" w:space="0" w:color="auto"/>
            </w:tcBorders>
            <w:vAlign w:val="center"/>
          </w:tcPr>
          <w:p w:rsidR="00131498" w:rsidRDefault="001A70D0">
            <w:pPr>
              <w:widowControl/>
              <w:jc w:val="left"/>
              <w:rPr>
                <w:rFonts w:ascii="宋体" w:hAnsi="宋体" w:cs="Arial"/>
                <w:color w:val="000000"/>
                <w:kern w:val="0"/>
                <w:sz w:val="20"/>
                <w:szCs w:val="20"/>
              </w:rPr>
            </w:pPr>
            <w:r>
              <w:rPr>
                <w:rFonts w:ascii="宋体" w:hAnsi="宋体" w:hint="eastAsia"/>
                <w:sz w:val="22"/>
              </w:rPr>
              <w:t>81.86</w:t>
            </w:r>
          </w:p>
        </w:tc>
      </w:tr>
    </w:tbl>
    <w:p w:rsidR="00131498" w:rsidRDefault="00131498"/>
    <w:tbl>
      <w:tblPr>
        <w:tblW w:w="8506" w:type="dxa"/>
        <w:tblInd w:w="-147" w:type="dxa"/>
        <w:tblCellMar>
          <w:left w:w="0" w:type="dxa"/>
          <w:right w:w="0" w:type="dxa"/>
        </w:tblCellMar>
        <w:tblLook w:val="04A0" w:firstRow="1" w:lastRow="0" w:firstColumn="1" w:lastColumn="0" w:noHBand="0" w:noVBand="1"/>
      </w:tblPr>
      <w:tblGrid>
        <w:gridCol w:w="1547"/>
        <w:gridCol w:w="840"/>
        <w:gridCol w:w="960"/>
        <w:gridCol w:w="960"/>
        <w:gridCol w:w="960"/>
        <w:gridCol w:w="960"/>
        <w:gridCol w:w="960"/>
        <w:gridCol w:w="1319"/>
      </w:tblGrid>
      <w:tr w:rsidR="00131498">
        <w:tc>
          <w:tcPr>
            <w:tcW w:w="8506"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eastAsia="黑体" w:hint="eastAsia"/>
                <w:color w:val="000000"/>
                <w:kern w:val="0"/>
                <w:szCs w:val="21"/>
                <w:highlight w:val="yellow"/>
              </w:rPr>
              <w:t>填表说明：</w:t>
            </w:r>
            <w:r>
              <w:rPr>
                <w:rFonts w:eastAsia="楷体_GB2312" w:hint="eastAsia"/>
                <w:b/>
                <w:color w:val="000000"/>
                <w:kern w:val="0"/>
                <w:szCs w:val="21"/>
                <w:highlight w:val="yellow"/>
              </w:rPr>
              <w:t>1</w:t>
            </w:r>
            <w:r>
              <w:rPr>
                <w:rFonts w:eastAsia="楷体_GB2312" w:hint="eastAsia"/>
                <w:b/>
                <w:color w:val="000000"/>
                <w:kern w:val="0"/>
                <w:szCs w:val="21"/>
                <w:highlight w:val="yellow"/>
              </w:rPr>
              <w:t>．</w:t>
            </w:r>
            <w:r>
              <w:rPr>
                <w:rFonts w:eastAsia="楷体_GB2312" w:hint="eastAsia"/>
                <w:color w:val="000000"/>
                <w:kern w:val="0"/>
                <w:szCs w:val="21"/>
                <w:highlight w:val="yellow"/>
              </w:rPr>
              <w:t>“年初预算数”</w:t>
            </w:r>
            <w:proofErr w:type="gramStart"/>
            <w:r>
              <w:rPr>
                <w:rFonts w:eastAsia="楷体_GB2312" w:hint="eastAsia"/>
                <w:color w:val="000000"/>
                <w:kern w:val="0"/>
                <w:szCs w:val="21"/>
                <w:highlight w:val="yellow"/>
              </w:rPr>
              <w:t>填</w:t>
            </w:r>
            <w:r>
              <w:rPr>
                <w:rFonts w:eastAsia="楷体_GB2312" w:hint="eastAsia"/>
                <w:color w:val="000000"/>
                <w:kern w:val="0"/>
                <w:szCs w:val="21"/>
                <w:highlight w:val="yellow"/>
              </w:rPr>
              <w:t>预算</w:t>
            </w:r>
            <w:proofErr w:type="gramEnd"/>
            <w:r>
              <w:rPr>
                <w:rFonts w:eastAsia="楷体_GB2312" w:hint="eastAsia"/>
                <w:color w:val="000000"/>
                <w:kern w:val="0"/>
                <w:szCs w:val="21"/>
                <w:highlight w:val="yellow"/>
              </w:rPr>
              <w:t>批复</w:t>
            </w:r>
            <w:r>
              <w:rPr>
                <w:rFonts w:eastAsia="楷体_GB2312" w:hint="eastAsia"/>
                <w:color w:val="000000"/>
                <w:kern w:val="0"/>
                <w:szCs w:val="21"/>
                <w:highlight w:val="yellow"/>
              </w:rPr>
              <w:t>数；“当年使用上年结余、结转及当年预算</w:t>
            </w:r>
            <w:r>
              <w:rPr>
                <w:rFonts w:eastAsia="楷体_GB2312" w:hint="eastAsia"/>
                <w:color w:val="000000"/>
                <w:kern w:val="0"/>
                <w:szCs w:val="21"/>
                <w:highlight w:val="yellow"/>
              </w:rPr>
              <w:t>追加追减</w:t>
            </w:r>
            <w:r>
              <w:rPr>
                <w:rFonts w:eastAsia="楷体_GB2312" w:hint="eastAsia"/>
                <w:color w:val="000000"/>
                <w:kern w:val="0"/>
                <w:szCs w:val="21"/>
                <w:highlight w:val="yellow"/>
              </w:rPr>
              <w:t>数”</w:t>
            </w:r>
            <w:proofErr w:type="gramStart"/>
            <w:r>
              <w:rPr>
                <w:rFonts w:eastAsia="楷体_GB2312" w:hint="eastAsia"/>
                <w:color w:val="000000"/>
                <w:kern w:val="0"/>
                <w:szCs w:val="21"/>
                <w:highlight w:val="yellow"/>
              </w:rPr>
              <w:t>填当年</w:t>
            </w:r>
            <w:proofErr w:type="gramEnd"/>
            <w:r>
              <w:rPr>
                <w:rFonts w:eastAsia="楷体_GB2312" w:hint="eastAsia"/>
                <w:color w:val="000000"/>
                <w:kern w:val="0"/>
                <w:szCs w:val="21"/>
                <w:highlight w:val="yellow"/>
              </w:rPr>
              <w:t>使用上年结余、结转数以及追加或</w:t>
            </w:r>
            <w:r>
              <w:rPr>
                <w:rFonts w:eastAsia="楷体_GB2312" w:hint="eastAsia"/>
                <w:color w:val="000000"/>
                <w:kern w:val="0"/>
                <w:szCs w:val="21"/>
                <w:highlight w:val="yellow"/>
              </w:rPr>
              <w:t>追</w:t>
            </w:r>
            <w:proofErr w:type="gramStart"/>
            <w:r>
              <w:rPr>
                <w:rFonts w:eastAsia="楷体_GB2312" w:hint="eastAsia"/>
                <w:color w:val="000000"/>
                <w:kern w:val="0"/>
                <w:szCs w:val="21"/>
                <w:highlight w:val="yellow"/>
              </w:rPr>
              <w:t>减</w:t>
            </w:r>
            <w:r>
              <w:rPr>
                <w:rFonts w:eastAsia="楷体_GB2312" w:hint="eastAsia"/>
                <w:color w:val="000000"/>
                <w:kern w:val="0"/>
                <w:szCs w:val="21"/>
                <w:highlight w:val="yellow"/>
              </w:rPr>
              <w:t>预算</w:t>
            </w:r>
            <w:proofErr w:type="gramEnd"/>
            <w:r>
              <w:rPr>
                <w:rFonts w:eastAsia="楷体_GB2312" w:hint="eastAsia"/>
                <w:color w:val="000000"/>
                <w:kern w:val="0"/>
                <w:szCs w:val="21"/>
                <w:highlight w:val="yellow"/>
              </w:rPr>
              <w:t>数；“财政拨款数”填财政部门实际拨付的款项数；“实际支付数”</w:t>
            </w:r>
            <w:proofErr w:type="gramStart"/>
            <w:r>
              <w:rPr>
                <w:rFonts w:eastAsia="楷体_GB2312" w:hint="eastAsia"/>
                <w:color w:val="000000"/>
                <w:kern w:val="0"/>
                <w:szCs w:val="21"/>
                <w:highlight w:val="yellow"/>
              </w:rPr>
              <w:t>填资金</w:t>
            </w:r>
            <w:proofErr w:type="gramEnd"/>
            <w:r>
              <w:rPr>
                <w:rFonts w:eastAsia="楷体_GB2312" w:hint="eastAsia"/>
                <w:color w:val="000000"/>
                <w:kern w:val="0"/>
                <w:szCs w:val="21"/>
                <w:highlight w:val="yellow"/>
              </w:rPr>
              <w:t>实际支付到最终使用者的数额；“结转数”填结转以后年度使用的资金数；“财政收回数”填财政部门收回的资金数。指标结余数</w:t>
            </w:r>
            <w:r>
              <w:rPr>
                <w:rFonts w:eastAsia="楷体_GB2312" w:hint="eastAsia"/>
                <w:color w:val="000000"/>
                <w:kern w:val="0"/>
                <w:szCs w:val="21"/>
                <w:highlight w:val="yellow"/>
              </w:rPr>
              <w:t>=</w:t>
            </w:r>
            <w:r>
              <w:rPr>
                <w:rFonts w:eastAsia="楷体_GB2312" w:hint="eastAsia"/>
                <w:color w:val="000000"/>
                <w:kern w:val="0"/>
                <w:szCs w:val="21"/>
                <w:highlight w:val="yellow"/>
              </w:rPr>
              <w:t>年初预算数</w:t>
            </w:r>
            <w:r>
              <w:rPr>
                <w:rFonts w:eastAsia="楷体_GB2312" w:hint="eastAsia"/>
                <w:color w:val="000000"/>
                <w:kern w:val="0"/>
                <w:szCs w:val="21"/>
                <w:highlight w:val="yellow"/>
              </w:rPr>
              <w:t>+</w:t>
            </w:r>
            <w:r>
              <w:rPr>
                <w:rFonts w:eastAsia="楷体_GB2312" w:hint="eastAsia"/>
                <w:color w:val="000000"/>
                <w:kern w:val="0"/>
                <w:szCs w:val="21"/>
                <w:highlight w:val="yellow"/>
              </w:rPr>
              <w:t>当年使用上年结余、结转及当年预算</w:t>
            </w:r>
            <w:r>
              <w:rPr>
                <w:rFonts w:eastAsia="楷体_GB2312" w:hint="eastAsia"/>
                <w:color w:val="000000"/>
                <w:kern w:val="0"/>
                <w:szCs w:val="21"/>
                <w:highlight w:val="yellow"/>
              </w:rPr>
              <w:t>追加追减</w:t>
            </w:r>
            <w:r>
              <w:rPr>
                <w:rFonts w:eastAsia="楷体_GB2312" w:hint="eastAsia"/>
                <w:color w:val="000000"/>
                <w:kern w:val="0"/>
                <w:szCs w:val="21"/>
                <w:highlight w:val="yellow"/>
              </w:rPr>
              <w:t>数</w:t>
            </w:r>
            <w:r>
              <w:rPr>
                <w:rFonts w:eastAsia="楷体_GB2312" w:hint="eastAsia"/>
                <w:color w:val="000000"/>
                <w:kern w:val="0"/>
                <w:szCs w:val="21"/>
                <w:highlight w:val="yellow"/>
              </w:rPr>
              <w:t>-</w:t>
            </w:r>
            <w:r>
              <w:rPr>
                <w:rFonts w:eastAsia="楷体_GB2312" w:hint="eastAsia"/>
                <w:color w:val="000000"/>
                <w:kern w:val="0"/>
                <w:szCs w:val="21"/>
                <w:highlight w:val="yellow"/>
              </w:rPr>
              <w:t>财政拨款数；</w:t>
            </w:r>
            <w:r>
              <w:rPr>
                <w:rFonts w:eastAsia="楷体_GB2312" w:hint="eastAsia"/>
                <w:color w:val="000000"/>
                <w:kern w:val="0"/>
                <w:szCs w:val="21"/>
                <w:highlight w:val="yellow"/>
              </w:rPr>
              <w:t>计划结余数</w:t>
            </w:r>
            <w:r>
              <w:rPr>
                <w:rFonts w:eastAsia="楷体_GB2312" w:hint="eastAsia"/>
                <w:color w:val="000000"/>
                <w:kern w:val="0"/>
                <w:szCs w:val="21"/>
                <w:highlight w:val="yellow"/>
              </w:rPr>
              <w:t>=</w:t>
            </w:r>
            <w:r>
              <w:rPr>
                <w:rFonts w:eastAsia="楷体_GB2312" w:hint="eastAsia"/>
                <w:color w:val="000000"/>
                <w:kern w:val="0"/>
                <w:szCs w:val="21"/>
                <w:highlight w:val="yellow"/>
              </w:rPr>
              <w:t>财政拨款数</w:t>
            </w:r>
            <w:r>
              <w:rPr>
                <w:rFonts w:eastAsia="楷体_GB2312" w:hint="eastAsia"/>
                <w:color w:val="000000"/>
                <w:kern w:val="0"/>
                <w:szCs w:val="21"/>
                <w:highlight w:val="yellow"/>
              </w:rPr>
              <w:t>-</w:t>
            </w:r>
            <w:r>
              <w:rPr>
                <w:rFonts w:eastAsia="楷体_GB2312" w:hint="eastAsia"/>
                <w:color w:val="000000"/>
                <w:kern w:val="0"/>
                <w:szCs w:val="21"/>
                <w:highlight w:val="yellow"/>
              </w:rPr>
              <w:t>实际支付数</w:t>
            </w:r>
            <w:r>
              <w:rPr>
                <w:rFonts w:eastAsia="楷体_GB2312" w:hint="eastAsia"/>
                <w:color w:val="000000"/>
                <w:kern w:val="0"/>
                <w:szCs w:val="21"/>
                <w:highlight w:val="yellow"/>
              </w:rPr>
              <w:t>=</w:t>
            </w:r>
            <w:r>
              <w:rPr>
                <w:rFonts w:eastAsia="楷体_GB2312" w:hint="eastAsia"/>
                <w:color w:val="000000"/>
                <w:kern w:val="0"/>
                <w:szCs w:val="21"/>
                <w:highlight w:val="yellow"/>
              </w:rPr>
              <w:t>计划</w:t>
            </w:r>
            <w:r>
              <w:rPr>
                <w:rFonts w:eastAsia="楷体_GB2312" w:hint="eastAsia"/>
                <w:color w:val="000000"/>
                <w:kern w:val="0"/>
                <w:szCs w:val="21"/>
                <w:highlight w:val="yellow"/>
              </w:rPr>
              <w:t>结转数</w:t>
            </w:r>
            <w:r>
              <w:rPr>
                <w:rFonts w:eastAsia="楷体_GB2312" w:hint="eastAsia"/>
                <w:color w:val="000000"/>
                <w:kern w:val="0"/>
                <w:szCs w:val="21"/>
                <w:highlight w:val="yellow"/>
              </w:rPr>
              <w:t>+</w:t>
            </w:r>
            <w:r>
              <w:rPr>
                <w:rFonts w:eastAsia="楷体_GB2312" w:hint="eastAsia"/>
                <w:color w:val="000000"/>
                <w:kern w:val="0"/>
                <w:szCs w:val="21"/>
                <w:highlight w:val="yellow"/>
              </w:rPr>
              <w:t>财政收回数。</w:t>
            </w:r>
            <w:r>
              <w:rPr>
                <w:rFonts w:eastAsia="楷体_GB2312" w:hint="eastAsia"/>
                <w:b/>
                <w:color w:val="000000"/>
                <w:kern w:val="0"/>
                <w:szCs w:val="21"/>
                <w:highlight w:val="yellow"/>
              </w:rPr>
              <w:t>2</w:t>
            </w:r>
            <w:r>
              <w:rPr>
                <w:rFonts w:eastAsia="楷体_GB2312" w:hint="eastAsia"/>
                <w:b/>
                <w:color w:val="000000"/>
                <w:kern w:val="0"/>
                <w:szCs w:val="21"/>
                <w:highlight w:val="yellow"/>
              </w:rPr>
              <w:t>．</w:t>
            </w:r>
            <w:r>
              <w:rPr>
                <w:rFonts w:eastAsia="楷体_GB2312" w:hint="eastAsia"/>
                <w:color w:val="000000"/>
                <w:kern w:val="0"/>
                <w:szCs w:val="21"/>
                <w:highlight w:val="yellow"/>
              </w:rPr>
              <w:t>“</w:t>
            </w:r>
            <w:r>
              <w:rPr>
                <w:rFonts w:eastAsia="楷体_GB2312" w:hint="eastAsia"/>
                <w:color w:val="000000"/>
                <w:kern w:val="0"/>
                <w:szCs w:val="21"/>
                <w:highlight w:val="yellow"/>
              </w:rPr>
              <w:t>决策</w:t>
            </w:r>
            <w:r>
              <w:rPr>
                <w:rFonts w:eastAsia="楷体_GB2312" w:hint="eastAsia"/>
                <w:color w:val="000000"/>
                <w:kern w:val="0"/>
                <w:szCs w:val="21"/>
                <w:highlight w:val="yellow"/>
              </w:rPr>
              <w:t>”</w:t>
            </w:r>
            <w:r>
              <w:rPr>
                <w:rFonts w:eastAsia="楷体_GB2312" w:hint="eastAsia"/>
                <w:color w:val="000000"/>
                <w:kern w:val="0"/>
                <w:szCs w:val="21"/>
                <w:highlight w:val="yellow"/>
              </w:rPr>
              <w:t>、“过程”</w:t>
            </w:r>
            <w:r>
              <w:rPr>
                <w:rFonts w:eastAsia="楷体_GB2312" w:hint="eastAsia"/>
                <w:color w:val="000000"/>
                <w:kern w:val="0"/>
                <w:szCs w:val="21"/>
                <w:highlight w:val="yellow"/>
              </w:rPr>
              <w:t>类指标</w:t>
            </w:r>
            <w:r>
              <w:rPr>
                <w:rFonts w:eastAsia="楷体_GB2312" w:hint="eastAsia"/>
                <w:color w:val="000000"/>
                <w:kern w:val="0"/>
                <w:szCs w:val="21"/>
                <w:highlight w:val="yellow"/>
              </w:rPr>
              <w:t>每个指标的权重值固定</w:t>
            </w:r>
            <w:r>
              <w:rPr>
                <w:rFonts w:eastAsia="楷体_GB2312" w:hint="eastAsia"/>
                <w:color w:val="000000"/>
                <w:kern w:val="0"/>
                <w:szCs w:val="21"/>
                <w:highlight w:val="yellow"/>
              </w:rPr>
              <w:t>，“产出”、“</w:t>
            </w:r>
            <w:r>
              <w:rPr>
                <w:rFonts w:eastAsia="楷体_GB2312" w:hint="eastAsia"/>
                <w:color w:val="000000"/>
                <w:kern w:val="0"/>
                <w:szCs w:val="21"/>
                <w:highlight w:val="yellow"/>
              </w:rPr>
              <w:t>效益</w:t>
            </w:r>
            <w:r>
              <w:rPr>
                <w:rFonts w:eastAsia="楷体_GB2312" w:hint="eastAsia"/>
                <w:color w:val="000000"/>
                <w:kern w:val="0"/>
                <w:szCs w:val="21"/>
                <w:highlight w:val="yellow"/>
              </w:rPr>
              <w:t>”、“</w:t>
            </w:r>
            <w:r>
              <w:rPr>
                <w:rFonts w:eastAsia="楷体_GB2312" w:hint="eastAsia"/>
                <w:color w:val="000000"/>
                <w:kern w:val="0"/>
                <w:szCs w:val="21"/>
                <w:highlight w:val="yellow"/>
              </w:rPr>
              <w:t>满意度</w:t>
            </w:r>
            <w:r>
              <w:rPr>
                <w:rFonts w:eastAsia="楷体_GB2312" w:hint="eastAsia"/>
                <w:color w:val="000000"/>
                <w:kern w:val="0"/>
                <w:szCs w:val="21"/>
                <w:highlight w:val="yellow"/>
              </w:rPr>
              <w:t>”指标权重值是根据指标数量将</w:t>
            </w:r>
            <w:r>
              <w:rPr>
                <w:rFonts w:eastAsia="楷体_GB2312" w:hint="eastAsia"/>
                <w:color w:val="000000"/>
                <w:kern w:val="0"/>
                <w:szCs w:val="21"/>
                <w:highlight w:val="yellow"/>
              </w:rPr>
              <w:t>每类</w:t>
            </w:r>
            <w:r>
              <w:rPr>
                <w:rFonts w:eastAsia="楷体_GB2312" w:hint="eastAsia"/>
                <w:color w:val="000000"/>
                <w:kern w:val="0"/>
                <w:szCs w:val="21"/>
                <w:highlight w:val="yellow"/>
              </w:rPr>
              <w:t>指标总</w:t>
            </w:r>
            <w:r>
              <w:rPr>
                <w:rFonts w:eastAsia="楷体_GB2312" w:hint="eastAsia"/>
                <w:color w:val="000000"/>
                <w:kern w:val="0"/>
                <w:szCs w:val="21"/>
                <w:highlight w:val="yellow"/>
              </w:rPr>
              <w:t>分值分摊到各项指标，即各项指标分值</w:t>
            </w:r>
            <w:r>
              <w:rPr>
                <w:rFonts w:eastAsia="楷体_GB2312" w:hint="eastAsia"/>
                <w:color w:val="000000"/>
                <w:kern w:val="0"/>
                <w:szCs w:val="21"/>
                <w:highlight w:val="yellow"/>
              </w:rPr>
              <w:t>=</w:t>
            </w:r>
            <w:r>
              <w:rPr>
                <w:rFonts w:eastAsia="楷体_GB2312" w:hint="eastAsia"/>
                <w:color w:val="000000"/>
                <w:kern w:val="0"/>
                <w:szCs w:val="21"/>
                <w:highlight w:val="yellow"/>
              </w:rPr>
              <w:t>每类</w:t>
            </w:r>
            <w:r>
              <w:rPr>
                <w:rFonts w:eastAsia="楷体_GB2312" w:hint="eastAsia"/>
                <w:color w:val="000000"/>
                <w:kern w:val="0"/>
                <w:szCs w:val="21"/>
                <w:highlight w:val="yellow"/>
              </w:rPr>
              <w:t>指标</w:t>
            </w:r>
            <w:r>
              <w:rPr>
                <w:rFonts w:eastAsia="楷体_GB2312" w:hint="eastAsia"/>
                <w:color w:val="000000"/>
                <w:kern w:val="0"/>
                <w:szCs w:val="21"/>
                <w:highlight w:val="yellow"/>
              </w:rPr>
              <w:t>总分值</w:t>
            </w:r>
            <w:r>
              <w:rPr>
                <w:rFonts w:eastAsia="楷体_GB2312" w:hint="eastAsia"/>
                <w:color w:val="000000"/>
                <w:kern w:val="0"/>
                <w:szCs w:val="21"/>
                <w:highlight w:val="yellow"/>
              </w:rPr>
              <w:t>/</w:t>
            </w:r>
            <w:r>
              <w:rPr>
                <w:rFonts w:eastAsia="楷体_GB2312" w:hint="eastAsia"/>
                <w:color w:val="000000"/>
                <w:kern w:val="0"/>
                <w:szCs w:val="21"/>
                <w:highlight w:val="yellow"/>
              </w:rPr>
              <w:t>该类</w:t>
            </w:r>
            <w:r>
              <w:rPr>
                <w:rFonts w:eastAsia="楷体_GB2312" w:hint="eastAsia"/>
                <w:color w:val="000000"/>
                <w:kern w:val="0"/>
                <w:szCs w:val="21"/>
                <w:highlight w:val="yellow"/>
              </w:rPr>
              <w:t>指标个数。</w:t>
            </w:r>
            <w:r>
              <w:rPr>
                <w:rFonts w:eastAsia="楷体_GB2312" w:hint="eastAsia"/>
                <w:b/>
                <w:color w:val="000000"/>
                <w:kern w:val="0"/>
                <w:szCs w:val="21"/>
                <w:highlight w:val="yellow"/>
              </w:rPr>
              <w:t>3</w:t>
            </w:r>
            <w:r>
              <w:rPr>
                <w:rFonts w:eastAsia="楷体_GB2312" w:hint="eastAsia"/>
                <w:b/>
                <w:color w:val="000000"/>
                <w:kern w:val="0"/>
                <w:szCs w:val="21"/>
                <w:highlight w:val="yellow"/>
              </w:rPr>
              <w:t>．</w:t>
            </w:r>
            <w:r>
              <w:rPr>
                <w:rFonts w:eastAsia="楷体_GB2312" w:hint="eastAsia"/>
                <w:color w:val="000000"/>
                <w:kern w:val="0"/>
                <w:szCs w:val="21"/>
                <w:highlight w:val="yellow"/>
              </w:rPr>
              <w:t>各项数据采集</w:t>
            </w:r>
            <w:r>
              <w:rPr>
                <w:rFonts w:eastAsia="楷体_GB2312" w:hint="eastAsia"/>
                <w:color w:val="000000"/>
                <w:kern w:val="0"/>
                <w:szCs w:val="21"/>
                <w:highlight w:val="yellow"/>
              </w:rPr>
              <w:t>的时间节点均为</w:t>
            </w:r>
            <w:r>
              <w:rPr>
                <w:rFonts w:eastAsia="楷体_GB2312" w:hint="eastAsia"/>
                <w:color w:val="000000"/>
                <w:kern w:val="0"/>
                <w:szCs w:val="21"/>
                <w:highlight w:val="yellow"/>
              </w:rPr>
              <w:t>202</w:t>
            </w:r>
            <w:r>
              <w:rPr>
                <w:rFonts w:eastAsia="楷体_GB2312" w:hint="eastAsia"/>
                <w:color w:val="000000"/>
                <w:kern w:val="0"/>
                <w:szCs w:val="21"/>
                <w:highlight w:val="yellow"/>
              </w:rPr>
              <w:t>4</w:t>
            </w:r>
            <w:r>
              <w:rPr>
                <w:rFonts w:eastAsia="楷体_GB2312" w:hint="eastAsia"/>
                <w:color w:val="000000"/>
                <w:kern w:val="0"/>
                <w:szCs w:val="21"/>
                <w:highlight w:val="yellow"/>
              </w:rPr>
              <w:t>年</w:t>
            </w:r>
            <w:r>
              <w:rPr>
                <w:rFonts w:eastAsia="楷体_GB2312" w:hint="eastAsia"/>
                <w:color w:val="000000"/>
                <w:kern w:val="0"/>
                <w:szCs w:val="21"/>
                <w:highlight w:val="yellow"/>
              </w:rPr>
              <w:t>12</w:t>
            </w:r>
            <w:r>
              <w:rPr>
                <w:rFonts w:eastAsia="楷体_GB2312" w:hint="eastAsia"/>
                <w:color w:val="000000"/>
                <w:kern w:val="0"/>
                <w:szCs w:val="21"/>
                <w:highlight w:val="yellow"/>
              </w:rPr>
              <w:t>月</w:t>
            </w:r>
            <w:r>
              <w:rPr>
                <w:rFonts w:eastAsia="楷体_GB2312" w:hint="eastAsia"/>
                <w:color w:val="000000"/>
                <w:kern w:val="0"/>
                <w:szCs w:val="21"/>
                <w:highlight w:val="yellow"/>
              </w:rPr>
              <w:t>31</w:t>
            </w:r>
            <w:r>
              <w:rPr>
                <w:rFonts w:eastAsia="楷体_GB2312" w:hint="eastAsia"/>
                <w:color w:val="000000"/>
                <w:kern w:val="0"/>
                <w:szCs w:val="21"/>
                <w:highlight w:val="yellow"/>
              </w:rPr>
              <w:t>日。</w:t>
            </w:r>
            <w:r>
              <w:rPr>
                <w:rFonts w:eastAsia="楷体_GB2312" w:hint="eastAsia"/>
                <w:b/>
                <w:color w:val="000000"/>
                <w:kern w:val="0"/>
                <w:szCs w:val="21"/>
                <w:highlight w:val="yellow"/>
              </w:rPr>
              <w:t>4</w:t>
            </w:r>
            <w:r>
              <w:rPr>
                <w:rFonts w:eastAsia="楷体_GB2312" w:hint="eastAsia"/>
                <w:b/>
                <w:color w:val="000000"/>
                <w:kern w:val="0"/>
                <w:szCs w:val="21"/>
                <w:highlight w:val="yellow"/>
              </w:rPr>
              <w:t>．</w:t>
            </w:r>
            <w:r>
              <w:rPr>
                <w:rFonts w:eastAsia="楷体_GB2312" w:hint="eastAsia"/>
                <w:color w:val="000000"/>
                <w:kern w:val="0"/>
                <w:szCs w:val="21"/>
                <w:highlight w:val="yellow"/>
              </w:rPr>
              <w:t>定性指标</w:t>
            </w:r>
            <w:r>
              <w:rPr>
                <w:rFonts w:eastAsia="楷体_GB2312" w:hint="eastAsia"/>
                <w:color w:val="000000"/>
                <w:kern w:val="0"/>
                <w:szCs w:val="21"/>
                <w:highlight w:val="yellow"/>
              </w:rPr>
              <w:t>根据实际完成情况按照</w:t>
            </w:r>
            <w:r>
              <w:rPr>
                <w:rFonts w:eastAsia="楷体_GB2312" w:hint="eastAsia"/>
                <w:color w:val="000000"/>
                <w:kern w:val="0"/>
                <w:szCs w:val="21"/>
                <w:highlight w:val="yellow"/>
              </w:rPr>
              <w:t>100%</w:t>
            </w:r>
            <w:r>
              <w:rPr>
                <w:rFonts w:eastAsia="楷体_GB2312" w:hint="eastAsia"/>
                <w:color w:val="000000"/>
                <w:kern w:val="0"/>
                <w:szCs w:val="21"/>
                <w:highlight w:val="yellow"/>
              </w:rPr>
              <w:t>、</w:t>
            </w:r>
            <w:r>
              <w:rPr>
                <w:rFonts w:eastAsia="楷体_GB2312" w:hint="eastAsia"/>
                <w:color w:val="000000"/>
                <w:kern w:val="0"/>
                <w:szCs w:val="21"/>
                <w:highlight w:val="yellow"/>
              </w:rPr>
              <w:t>80%</w:t>
            </w:r>
            <w:r>
              <w:rPr>
                <w:rFonts w:eastAsia="楷体_GB2312" w:hint="eastAsia"/>
                <w:color w:val="000000"/>
                <w:kern w:val="0"/>
                <w:szCs w:val="21"/>
                <w:highlight w:val="yellow"/>
              </w:rPr>
              <w:t>、</w:t>
            </w:r>
            <w:r>
              <w:rPr>
                <w:rFonts w:eastAsia="楷体_GB2312" w:hint="eastAsia"/>
                <w:color w:val="000000"/>
                <w:kern w:val="0"/>
                <w:szCs w:val="21"/>
                <w:highlight w:val="yellow"/>
              </w:rPr>
              <w:t>60%</w:t>
            </w:r>
            <w:r>
              <w:rPr>
                <w:rFonts w:eastAsia="楷体_GB2312" w:hint="eastAsia"/>
                <w:color w:val="000000"/>
                <w:kern w:val="0"/>
                <w:szCs w:val="21"/>
                <w:highlight w:val="yellow"/>
              </w:rPr>
              <w:t>、</w:t>
            </w:r>
            <w:r>
              <w:rPr>
                <w:rFonts w:eastAsia="楷体_GB2312" w:hint="eastAsia"/>
                <w:color w:val="000000"/>
                <w:kern w:val="0"/>
                <w:szCs w:val="21"/>
                <w:highlight w:val="yellow"/>
              </w:rPr>
              <w:t>40%</w:t>
            </w:r>
            <w:r>
              <w:rPr>
                <w:rFonts w:eastAsia="楷体_GB2312" w:hint="eastAsia"/>
                <w:color w:val="000000"/>
                <w:kern w:val="0"/>
                <w:szCs w:val="21"/>
                <w:highlight w:val="yellow"/>
              </w:rPr>
              <w:t>、</w:t>
            </w:r>
            <w:r>
              <w:rPr>
                <w:rFonts w:eastAsia="楷体_GB2312" w:hint="eastAsia"/>
                <w:color w:val="000000"/>
                <w:kern w:val="0"/>
                <w:szCs w:val="21"/>
                <w:highlight w:val="yellow"/>
              </w:rPr>
              <w:t>20%</w:t>
            </w:r>
            <w:r>
              <w:rPr>
                <w:rFonts w:eastAsia="楷体_GB2312" w:hint="eastAsia"/>
                <w:color w:val="000000"/>
                <w:kern w:val="0"/>
                <w:szCs w:val="21"/>
                <w:highlight w:val="yellow"/>
              </w:rPr>
              <w:t>、</w:t>
            </w:r>
            <w:r>
              <w:rPr>
                <w:rFonts w:eastAsia="楷体_GB2312" w:hint="eastAsia"/>
                <w:color w:val="000000"/>
                <w:kern w:val="0"/>
                <w:szCs w:val="21"/>
                <w:highlight w:val="yellow"/>
              </w:rPr>
              <w:t>0</w:t>
            </w:r>
            <w:proofErr w:type="gramStart"/>
            <w:r>
              <w:rPr>
                <w:rFonts w:eastAsia="楷体_GB2312" w:hint="eastAsia"/>
                <w:color w:val="000000"/>
                <w:kern w:val="0"/>
                <w:szCs w:val="21"/>
                <w:highlight w:val="yellow"/>
              </w:rPr>
              <w:t>六</w:t>
            </w:r>
            <w:proofErr w:type="gramEnd"/>
            <w:r>
              <w:rPr>
                <w:rFonts w:eastAsia="楷体_GB2312" w:hint="eastAsia"/>
                <w:color w:val="000000"/>
                <w:kern w:val="0"/>
                <w:szCs w:val="21"/>
                <w:highlight w:val="yellow"/>
              </w:rPr>
              <w:t>级权重予以评分</w:t>
            </w:r>
            <w:r>
              <w:rPr>
                <w:rFonts w:eastAsia="楷体_GB2312" w:hint="eastAsia"/>
                <w:color w:val="000000"/>
                <w:kern w:val="0"/>
                <w:szCs w:val="21"/>
                <w:highlight w:val="yellow"/>
              </w:rPr>
              <w:t>。定量指标评分规则：“产出”类每项指标的实际完成值对应预期设定的目标值，完成</w:t>
            </w:r>
            <w:r>
              <w:rPr>
                <w:rFonts w:eastAsia="楷体_GB2312" w:hint="eastAsia"/>
                <w:color w:val="000000"/>
                <w:kern w:val="0"/>
                <w:szCs w:val="21"/>
                <w:highlight w:val="yellow"/>
              </w:rPr>
              <w:t>100%</w:t>
            </w:r>
            <w:r>
              <w:rPr>
                <w:rFonts w:eastAsia="楷体_GB2312" w:hint="eastAsia"/>
                <w:color w:val="000000"/>
                <w:kern w:val="0"/>
                <w:szCs w:val="21"/>
                <w:highlight w:val="yellow"/>
              </w:rPr>
              <w:t>～</w:t>
            </w:r>
            <w:r>
              <w:rPr>
                <w:rFonts w:eastAsia="楷体_GB2312" w:hint="eastAsia"/>
                <w:color w:val="000000"/>
                <w:kern w:val="0"/>
                <w:szCs w:val="21"/>
                <w:highlight w:val="yellow"/>
              </w:rPr>
              <w:t>130%</w:t>
            </w:r>
            <w:r>
              <w:rPr>
                <w:rFonts w:eastAsia="楷体_GB2312" w:hint="eastAsia"/>
                <w:color w:val="000000"/>
                <w:kern w:val="0"/>
                <w:szCs w:val="21"/>
                <w:highlight w:val="yellow"/>
              </w:rPr>
              <w:t>得权重值满分，超过</w:t>
            </w:r>
            <w:r>
              <w:rPr>
                <w:rFonts w:eastAsia="楷体_GB2312" w:hint="eastAsia"/>
                <w:color w:val="000000"/>
                <w:kern w:val="0"/>
                <w:szCs w:val="21"/>
                <w:highlight w:val="yellow"/>
              </w:rPr>
              <w:t>130%</w:t>
            </w:r>
            <w:r>
              <w:rPr>
                <w:rFonts w:eastAsia="楷体_GB2312" w:hint="eastAsia"/>
                <w:color w:val="000000"/>
                <w:kern w:val="0"/>
                <w:szCs w:val="21"/>
                <w:highlight w:val="yellow"/>
              </w:rPr>
              <w:t>的每超过</w:t>
            </w:r>
            <w:r>
              <w:rPr>
                <w:rFonts w:eastAsia="楷体_GB2312" w:hint="eastAsia"/>
                <w:color w:val="000000"/>
                <w:kern w:val="0"/>
                <w:szCs w:val="21"/>
                <w:highlight w:val="yellow"/>
              </w:rPr>
              <w:t>1%</w:t>
            </w:r>
            <w:r>
              <w:rPr>
                <w:rFonts w:eastAsia="楷体_GB2312" w:hint="eastAsia"/>
                <w:color w:val="000000"/>
                <w:kern w:val="0"/>
                <w:szCs w:val="21"/>
                <w:highlight w:val="yellow"/>
              </w:rPr>
              <w:t>扣权重值</w:t>
            </w:r>
            <w:r>
              <w:rPr>
                <w:rFonts w:eastAsia="楷体_GB2312" w:hint="eastAsia"/>
                <w:color w:val="000000"/>
                <w:kern w:val="0"/>
                <w:szCs w:val="21"/>
                <w:highlight w:val="yellow"/>
              </w:rPr>
              <w:t>1%</w:t>
            </w:r>
            <w:r>
              <w:rPr>
                <w:rFonts w:eastAsia="楷体_GB2312" w:hint="eastAsia"/>
                <w:color w:val="000000"/>
                <w:kern w:val="0"/>
                <w:szCs w:val="21"/>
                <w:highlight w:val="yellow"/>
              </w:rPr>
              <w:t>；</w:t>
            </w:r>
            <w:r>
              <w:rPr>
                <w:rFonts w:eastAsia="楷体_GB2312" w:hint="eastAsia"/>
                <w:color w:val="000000"/>
                <w:kern w:val="0"/>
                <w:szCs w:val="21"/>
                <w:highlight w:val="yellow"/>
              </w:rPr>
              <w:t>“决策”、</w:t>
            </w:r>
            <w:r>
              <w:rPr>
                <w:rFonts w:eastAsia="楷体_GB2312" w:hint="eastAsia"/>
                <w:color w:val="000000"/>
                <w:kern w:val="0"/>
                <w:szCs w:val="21"/>
                <w:highlight w:val="yellow"/>
              </w:rPr>
              <w:t>“</w:t>
            </w:r>
            <w:r>
              <w:rPr>
                <w:rFonts w:eastAsia="楷体_GB2312" w:hint="eastAsia"/>
                <w:color w:val="000000"/>
                <w:kern w:val="0"/>
                <w:szCs w:val="21"/>
                <w:highlight w:val="yellow"/>
              </w:rPr>
              <w:t>过程</w:t>
            </w:r>
            <w:r>
              <w:rPr>
                <w:rFonts w:eastAsia="楷体_GB2312" w:hint="eastAsia"/>
                <w:color w:val="000000"/>
                <w:kern w:val="0"/>
                <w:szCs w:val="21"/>
                <w:highlight w:val="yellow"/>
              </w:rPr>
              <w:t>”、“</w:t>
            </w:r>
            <w:r>
              <w:rPr>
                <w:rFonts w:eastAsia="楷体_GB2312" w:hint="eastAsia"/>
                <w:color w:val="000000"/>
                <w:kern w:val="0"/>
                <w:szCs w:val="21"/>
                <w:highlight w:val="yellow"/>
              </w:rPr>
              <w:t>满意度</w:t>
            </w:r>
            <w:r>
              <w:rPr>
                <w:rFonts w:eastAsia="楷体_GB2312" w:hint="eastAsia"/>
                <w:color w:val="000000"/>
                <w:kern w:val="0"/>
                <w:szCs w:val="21"/>
                <w:highlight w:val="yellow"/>
              </w:rPr>
              <w:t>”类指标以</w:t>
            </w:r>
            <w:r>
              <w:rPr>
                <w:rFonts w:eastAsia="楷体_GB2312" w:hint="eastAsia"/>
                <w:color w:val="000000"/>
                <w:kern w:val="0"/>
                <w:szCs w:val="21"/>
                <w:highlight w:val="yellow"/>
              </w:rPr>
              <w:t>100%</w:t>
            </w:r>
            <w:r>
              <w:rPr>
                <w:rFonts w:eastAsia="楷体_GB2312" w:hint="eastAsia"/>
                <w:color w:val="000000"/>
                <w:kern w:val="0"/>
                <w:szCs w:val="21"/>
                <w:highlight w:val="yellow"/>
              </w:rPr>
              <w:t>为满分</w:t>
            </w:r>
            <w:r>
              <w:rPr>
                <w:rFonts w:eastAsia="楷体_GB2312" w:hint="eastAsia"/>
                <w:color w:val="000000"/>
                <w:kern w:val="0"/>
                <w:szCs w:val="21"/>
                <w:highlight w:val="yellow"/>
              </w:rPr>
              <w:t>；</w:t>
            </w:r>
            <w:r>
              <w:rPr>
                <w:rFonts w:eastAsia="楷体_GB2312" w:hint="eastAsia"/>
                <w:color w:val="000000"/>
                <w:kern w:val="0"/>
                <w:szCs w:val="21"/>
                <w:highlight w:val="yellow"/>
              </w:rPr>
              <w:t>“</w:t>
            </w:r>
            <w:r>
              <w:rPr>
                <w:rFonts w:eastAsia="楷体_GB2312" w:hint="eastAsia"/>
                <w:color w:val="000000"/>
                <w:kern w:val="0"/>
                <w:szCs w:val="21"/>
                <w:highlight w:val="yellow"/>
              </w:rPr>
              <w:t>效益</w:t>
            </w:r>
            <w:r>
              <w:rPr>
                <w:rFonts w:eastAsia="楷体_GB2312" w:hint="eastAsia"/>
                <w:color w:val="000000"/>
                <w:kern w:val="0"/>
                <w:szCs w:val="21"/>
                <w:highlight w:val="yellow"/>
              </w:rPr>
              <w:t>”类每项指标的实际完成值对应预期设定的目标值，完成</w:t>
            </w:r>
            <w:r>
              <w:rPr>
                <w:rFonts w:eastAsia="楷体_GB2312" w:hint="eastAsia"/>
                <w:color w:val="000000"/>
                <w:kern w:val="0"/>
                <w:szCs w:val="21"/>
                <w:highlight w:val="yellow"/>
              </w:rPr>
              <w:t>100%</w:t>
            </w:r>
            <w:r>
              <w:rPr>
                <w:rFonts w:eastAsia="楷体_GB2312" w:hint="eastAsia"/>
                <w:color w:val="000000"/>
                <w:kern w:val="0"/>
                <w:szCs w:val="21"/>
                <w:highlight w:val="yellow"/>
              </w:rPr>
              <w:t>～</w:t>
            </w:r>
            <w:r>
              <w:rPr>
                <w:rFonts w:eastAsia="楷体_GB2312" w:hint="eastAsia"/>
                <w:color w:val="000000"/>
                <w:kern w:val="0"/>
                <w:szCs w:val="21"/>
                <w:highlight w:val="yellow"/>
              </w:rPr>
              <w:t>200%</w:t>
            </w:r>
            <w:r>
              <w:rPr>
                <w:rFonts w:eastAsia="楷体_GB2312" w:hint="eastAsia"/>
                <w:color w:val="000000"/>
                <w:kern w:val="0"/>
                <w:szCs w:val="21"/>
                <w:highlight w:val="yellow"/>
              </w:rPr>
              <w:t>得权重值满分，超过</w:t>
            </w:r>
            <w:r>
              <w:rPr>
                <w:rFonts w:eastAsia="楷体_GB2312" w:hint="eastAsia"/>
                <w:color w:val="000000"/>
                <w:kern w:val="0"/>
                <w:szCs w:val="21"/>
                <w:highlight w:val="yellow"/>
              </w:rPr>
              <w:t>200%</w:t>
            </w:r>
            <w:r>
              <w:rPr>
                <w:rFonts w:eastAsia="楷体_GB2312" w:hint="eastAsia"/>
                <w:color w:val="000000"/>
                <w:kern w:val="0"/>
                <w:szCs w:val="21"/>
                <w:highlight w:val="yellow"/>
              </w:rPr>
              <w:t>的每超过</w:t>
            </w:r>
            <w:r>
              <w:rPr>
                <w:rFonts w:eastAsia="楷体_GB2312" w:hint="eastAsia"/>
                <w:color w:val="000000"/>
                <w:kern w:val="0"/>
                <w:szCs w:val="21"/>
                <w:highlight w:val="yellow"/>
              </w:rPr>
              <w:t>1%</w:t>
            </w:r>
            <w:r>
              <w:rPr>
                <w:rFonts w:eastAsia="楷体_GB2312" w:hint="eastAsia"/>
                <w:color w:val="000000"/>
                <w:kern w:val="0"/>
                <w:szCs w:val="21"/>
                <w:highlight w:val="yellow"/>
              </w:rPr>
              <w:t>扣权重值</w:t>
            </w:r>
            <w:r>
              <w:rPr>
                <w:rFonts w:eastAsia="楷体_GB2312" w:hint="eastAsia"/>
                <w:color w:val="000000"/>
                <w:kern w:val="0"/>
                <w:szCs w:val="21"/>
                <w:highlight w:val="yellow"/>
              </w:rPr>
              <w:t>1%</w:t>
            </w:r>
            <w:r>
              <w:rPr>
                <w:rFonts w:eastAsia="楷体_GB2312" w:hint="eastAsia"/>
                <w:color w:val="000000"/>
                <w:kern w:val="0"/>
                <w:szCs w:val="21"/>
                <w:highlight w:val="yellow"/>
              </w:rPr>
              <w:t>；</w:t>
            </w:r>
            <w:r>
              <w:rPr>
                <w:rFonts w:eastAsia="楷体_GB2312" w:hint="eastAsia"/>
                <w:color w:val="000000"/>
                <w:kern w:val="0"/>
                <w:szCs w:val="21"/>
                <w:highlight w:val="yellow"/>
              </w:rPr>
              <w:t>五</w:t>
            </w:r>
            <w:r>
              <w:rPr>
                <w:rFonts w:eastAsia="楷体_GB2312" w:hint="eastAsia"/>
                <w:color w:val="000000"/>
                <w:kern w:val="0"/>
                <w:szCs w:val="21"/>
                <w:highlight w:val="yellow"/>
              </w:rPr>
              <w:t>类指标的所有指标实际完成值每低于目标值</w:t>
            </w:r>
            <w:r>
              <w:rPr>
                <w:rFonts w:eastAsia="楷体_GB2312" w:hint="eastAsia"/>
                <w:color w:val="000000"/>
                <w:kern w:val="0"/>
                <w:szCs w:val="21"/>
                <w:highlight w:val="yellow"/>
              </w:rPr>
              <w:t>1</w:t>
            </w:r>
            <w:r>
              <w:rPr>
                <w:rFonts w:eastAsia="楷体_GB2312" w:hint="eastAsia"/>
                <w:color w:val="000000"/>
                <w:kern w:val="0"/>
                <w:szCs w:val="21"/>
                <w:highlight w:val="yellow"/>
              </w:rPr>
              <w:t>个百分点相应扣</w:t>
            </w:r>
            <w:r>
              <w:rPr>
                <w:rFonts w:eastAsia="楷体_GB2312" w:hint="eastAsia"/>
                <w:color w:val="000000"/>
                <w:kern w:val="0"/>
                <w:szCs w:val="21"/>
                <w:highlight w:val="yellow"/>
              </w:rPr>
              <w:t>减权重值的</w:t>
            </w:r>
            <w:r>
              <w:rPr>
                <w:rFonts w:eastAsia="楷体_GB2312" w:hint="eastAsia"/>
                <w:color w:val="000000"/>
                <w:kern w:val="0"/>
                <w:szCs w:val="21"/>
                <w:highlight w:val="yellow"/>
              </w:rPr>
              <w:t>5%</w:t>
            </w:r>
            <w:r>
              <w:rPr>
                <w:rFonts w:eastAsia="楷体_GB2312" w:hint="eastAsia"/>
                <w:color w:val="000000"/>
                <w:kern w:val="0"/>
                <w:szCs w:val="21"/>
                <w:highlight w:val="yellow"/>
              </w:rPr>
              <w:t>；某项指标无法提供具体数值，且无说明，得</w:t>
            </w:r>
            <w:r>
              <w:rPr>
                <w:rFonts w:eastAsia="楷体_GB2312" w:hint="eastAsia"/>
                <w:color w:val="000000"/>
                <w:kern w:val="0"/>
                <w:szCs w:val="21"/>
                <w:highlight w:val="yellow"/>
              </w:rPr>
              <w:t>0</w:t>
            </w:r>
            <w:r>
              <w:rPr>
                <w:rFonts w:eastAsia="楷体_GB2312" w:hint="eastAsia"/>
                <w:color w:val="000000"/>
                <w:kern w:val="0"/>
                <w:szCs w:val="21"/>
                <w:highlight w:val="yellow"/>
              </w:rPr>
              <w:t>分。</w:t>
            </w:r>
          </w:p>
        </w:tc>
      </w:tr>
      <w:tr w:rsidR="00131498">
        <w:trPr>
          <w:trHeight w:val="450"/>
        </w:trPr>
        <w:tc>
          <w:tcPr>
            <w:tcW w:w="8506" w:type="dxa"/>
            <w:gridSpan w:val="8"/>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b/>
                <w:bCs/>
                <w:color w:val="000000"/>
                <w:sz w:val="36"/>
                <w:szCs w:val="36"/>
              </w:rPr>
            </w:pPr>
            <w:r>
              <w:rPr>
                <w:rFonts w:cs="Arial" w:hint="eastAsia"/>
                <w:b/>
                <w:bCs/>
                <w:color w:val="000000"/>
                <w:sz w:val="36"/>
                <w:szCs w:val="36"/>
              </w:rPr>
              <w:t>项目基本情况</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项目概况</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用于加强全市安全生产目标管理和考核</w:t>
            </w:r>
            <w:r>
              <w:rPr>
                <w:rFonts w:cs="Arial" w:hint="eastAsia"/>
                <w:color w:val="000000"/>
                <w:sz w:val="22"/>
              </w:rPr>
              <w:t>,</w:t>
            </w:r>
            <w:r>
              <w:rPr>
                <w:rFonts w:cs="Arial" w:hint="eastAsia"/>
                <w:color w:val="000000"/>
                <w:sz w:val="22"/>
              </w:rPr>
              <w:t>落实安全生产责任制</w:t>
            </w:r>
            <w:r>
              <w:rPr>
                <w:rFonts w:cs="Arial" w:hint="eastAsia"/>
                <w:color w:val="000000"/>
                <w:sz w:val="22"/>
              </w:rPr>
              <w:t>,</w:t>
            </w:r>
            <w:r>
              <w:rPr>
                <w:rFonts w:cs="Arial" w:hint="eastAsia"/>
                <w:color w:val="000000"/>
                <w:sz w:val="22"/>
              </w:rPr>
              <w:t>开展重大隐患排查整改和重点领域专项整治</w:t>
            </w:r>
            <w:r>
              <w:rPr>
                <w:rFonts w:cs="Arial" w:hint="eastAsia"/>
                <w:color w:val="000000"/>
                <w:sz w:val="22"/>
              </w:rPr>
              <w:t>,</w:t>
            </w:r>
            <w:r>
              <w:rPr>
                <w:rFonts w:cs="Arial" w:hint="eastAsia"/>
                <w:color w:val="000000"/>
                <w:sz w:val="22"/>
              </w:rPr>
              <w:t>加强执法能力及基层能力建设</w:t>
            </w:r>
            <w:r>
              <w:rPr>
                <w:rFonts w:cs="Arial" w:hint="eastAsia"/>
                <w:color w:val="000000"/>
                <w:sz w:val="22"/>
              </w:rPr>
              <w:t>,</w:t>
            </w:r>
            <w:r>
              <w:rPr>
                <w:rFonts w:cs="Arial" w:hint="eastAsia"/>
                <w:color w:val="000000"/>
                <w:sz w:val="22"/>
              </w:rPr>
              <w:t>购买</w:t>
            </w:r>
            <w:proofErr w:type="gramStart"/>
            <w:r>
              <w:rPr>
                <w:rFonts w:cs="Arial" w:hint="eastAsia"/>
                <w:color w:val="000000"/>
                <w:sz w:val="22"/>
              </w:rPr>
              <w:t>第三方服夯实</w:t>
            </w:r>
            <w:proofErr w:type="gramEnd"/>
            <w:r>
              <w:rPr>
                <w:rFonts w:cs="Arial" w:hint="eastAsia"/>
                <w:color w:val="000000"/>
                <w:sz w:val="22"/>
              </w:rPr>
              <w:t>安全生产监管基础，保障特种作业考试有序开展，有效压降各类生产安全事故等。</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项目总目标</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proofErr w:type="gramStart"/>
            <w:r>
              <w:rPr>
                <w:rFonts w:cs="Arial" w:hint="eastAsia"/>
                <w:color w:val="000000"/>
                <w:sz w:val="22"/>
              </w:rPr>
              <w:t>障</w:t>
            </w:r>
            <w:proofErr w:type="gramEnd"/>
            <w:r>
              <w:rPr>
                <w:rFonts w:cs="Arial" w:hint="eastAsia"/>
                <w:color w:val="000000"/>
                <w:sz w:val="22"/>
              </w:rPr>
              <w:t>人民群众生命财产安全，促进社会经济和谐发展。</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年度绩效目标</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落实安全生产责任制</w:t>
            </w:r>
            <w:r>
              <w:rPr>
                <w:rFonts w:cs="Arial" w:hint="eastAsia"/>
                <w:color w:val="000000"/>
                <w:sz w:val="22"/>
              </w:rPr>
              <w:t>,</w:t>
            </w:r>
            <w:r>
              <w:rPr>
                <w:rFonts w:cs="Arial" w:hint="eastAsia"/>
                <w:color w:val="000000"/>
                <w:sz w:val="22"/>
              </w:rPr>
              <w:t>完成重大隐患排查整改和重点领域专项整治。</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项目实施情况</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一、资金使用方面。</w:t>
            </w:r>
            <w:r>
              <w:rPr>
                <w:rFonts w:cs="Arial" w:hint="eastAsia"/>
                <w:color w:val="000000"/>
                <w:sz w:val="22"/>
              </w:rPr>
              <w:t>1.</w:t>
            </w:r>
            <w:r>
              <w:rPr>
                <w:rFonts w:cs="Arial" w:hint="eastAsia"/>
                <w:color w:val="000000"/>
                <w:sz w:val="22"/>
              </w:rPr>
              <w:t>项目预算情况项目年初预算</w:t>
            </w:r>
            <w:r>
              <w:rPr>
                <w:rFonts w:cs="Arial" w:hint="eastAsia"/>
                <w:color w:val="000000"/>
                <w:sz w:val="22"/>
              </w:rPr>
              <w:t>3395.54</w:t>
            </w:r>
            <w:r>
              <w:rPr>
                <w:rFonts w:cs="Arial" w:hint="eastAsia"/>
                <w:color w:val="000000"/>
                <w:sz w:val="22"/>
              </w:rPr>
              <w:t>万元，其中：安全生产、应急管理核查服务项目</w:t>
            </w:r>
            <w:r>
              <w:rPr>
                <w:rFonts w:cs="Arial" w:hint="eastAsia"/>
                <w:color w:val="000000"/>
                <w:sz w:val="22"/>
              </w:rPr>
              <w:t>2984.54</w:t>
            </w:r>
            <w:r>
              <w:rPr>
                <w:rFonts w:cs="Arial" w:hint="eastAsia"/>
                <w:color w:val="000000"/>
                <w:sz w:val="22"/>
              </w:rPr>
              <w:t>万元、市考试中心项目</w:t>
            </w:r>
            <w:r>
              <w:rPr>
                <w:rFonts w:cs="Arial" w:hint="eastAsia"/>
                <w:color w:val="000000"/>
                <w:sz w:val="22"/>
              </w:rPr>
              <w:t>376</w:t>
            </w:r>
            <w:r>
              <w:rPr>
                <w:rFonts w:cs="Arial" w:hint="eastAsia"/>
                <w:color w:val="000000"/>
                <w:sz w:val="22"/>
              </w:rPr>
              <w:t>万元、自然灾害民生保险理赔项目</w:t>
            </w:r>
            <w:r>
              <w:rPr>
                <w:rFonts w:cs="Arial" w:hint="eastAsia"/>
                <w:color w:val="000000"/>
                <w:sz w:val="22"/>
              </w:rPr>
              <w:t>35</w:t>
            </w:r>
            <w:r>
              <w:rPr>
                <w:rFonts w:cs="Arial" w:hint="eastAsia"/>
                <w:color w:val="000000"/>
                <w:sz w:val="22"/>
              </w:rPr>
              <w:t>万元。根据法院判决进展，年中调减核查服务</w:t>
            </w:r>
            <w:r>
              <w:rPr>
                <w:rFonts w:cs="Arial" w:hint="eastAsia"/>
                <w:color w:val="000000"/>
                <w:sz w:val="22"/>
              </w:rPr>
              <w:t>100</w:t>
            </w:r>
            <w:r>
              <w:rPr>
                <w:rFonts w:cs="Arial" w:hint="eastAsia"/>
                <w:color w:val="000000"/>
                <w:sz w:val="22"/>
              </w:rPr>
              <w:t>万元。</w:t>
            </w:r>
            <w:r>
              <w:rPr>
                <w:rFonts w:cs="Arial" w:hint="eastAsia"/>
                <w:color w:val="000000"/>
                <w:sz w:val="22"/>
              </w:rPr>
              <w:t>2.</w:t>
            </w:r>
            <w:r>
              <w:rPr>
                <w:rFonts w:cs="Arial" w:hint="eastAsia"/>
                <w:color w:val="000000"/>
                <w:sz w:val="22"/>
              </w:rPr>
              <w:t>实际支付情况：项目实际支付</w:t>
            </w:r>
            <w:r>
              <w:rPr>
                <w:rFonts w:cs="Arial" w:hint="eastAsia"/>
                <w:color w:val="000000"/>
                <w:sz w:val="22"/>
              </w:rPr>
              <w:t>3198.19</w:t>
            </w:r>
            <w:r>
              <w:rPr>
                <w:rFonts w:cs="Arial" w:hint="eastAsia"/>
                <w:color w:val="000000"/>
                <w:sz w:val="22"/>
              </w:rPr>
              <w:t>万元，主要为安全生产、应急管理核查服务项目</w:t>
            </w:r>
            <w:r>
              <w:rPr>
                <w:rFonts w:cs="Arial" w:hint="eastAsia"/>
                <w:color w:val="000000"/>
                <w:sz w:val="22"/>
              </w:rPr>
              <w:t>2815.44</w:t>
            </w:r>
            <w:r>
              <w:rPr>
                <w:rFonts w:cs="Arial" w:hint="eastAsia"/>
                <w:color w:val="000000"/>
                <w:sz w:val="22"/>
              </w:rPr>
              <w:t>万元、市考试中心项目</w:t>
            </w:r>
            <w:r>
              <w:rPr>
                <w:rFonts w:cs="Arial" w:hint="eastAsia"/>
                <w:color w:val="000000"/>
                <w:sz w:val="22"/>
              </w:rPr>
              <w:t>347.85</w:t>
            </w:r>
            <w:r>
              <w:rPr>
                <w:rFonts w:cs="Arial" w:hint="eastAsia"/>
                <w:color w:val="000000"/>
                <w:sz w:val="22"/>
              </w:rPr>
              <w:t>万元、自然灾害民生保险理赔项目</w:t>
            </w:r>
            <w:r>
              <w:rPr>
                <w:rFonts w:cs="Arial" w:hint="eastAsia"/>
                <w:color w:val="000000"/>
                <w:sz w:val="22"/>
              </w:rPr>
              <w:t>34.9</w:t>
            </w:r>
            <w:r>
              <w:rPr>
                <w:rFonts w:cs="Arial" w:hint="eastAsia"/>
                <w:color w:val="000000"/>
                <w:sz w:val="22"/>
              </w:rPr>
              <w:t>万元。二、项目实施情况。</w:t>
            </w:r>
            <w:r>
              <w:rPr>
                <w:rFonts w:cs="Arial" w:hint="eastAsia"/>
                <w:color w:val="000000"/>
                <w:sz w:val="22"/>
              </w:rPr>
              <w:t>1.</w:t>
            </w:r>
            <w:r>
              <w:rPr>
                <w:rFonts w:cs="Arial" w:hint="eastAsia"/>
                <w:color w:val="000000"/>
                <w:sz w:val="22"/>
              </w:rPr>
              <w:t>开展安全诊断检查，总结分析共性突出问题及形成原因，编制总结报告，提出工作建议。</w:t>
            </w:r>
            <w:r>
              <w:rPr>
                <w:rFonts w:cs="Arial" w:hint="eastAsia"/>
                <w:color w:val="000000"/>
                <w:sz w:val="22"/>
              </w:rPr>
              <w:t>2023</w:t>
            </w:r>
            <w:r>
              <w:rPr>
                <w:rFonts w:cs="Arial" w:hint="eastAsia"/>
                <w:color w:val="000000"/>
                <w:sz w:val="22"/>
              </w:rPr>
              <w:t>年</w:t>
            </w:r>
            <w:r>
              <w:rPr>
                <w:rFonts w:cs="Arial" w:hint="eastAsia"/>
                <w:color w:val="000000"/>
                <w:sz w:val="22"/>
              </w:rPr>
              <w:t>11</w:t>
            </w:r>
            <w:r>
              <w:rPr>
                <w:rFonts w:cs="Arial" w:hint="eastAsia"/>
                <w:color w:val="000000"/>
                <w:sz w:val="22"/>
              </w:rPr>
              <w:t>月启动政府采购流程，进入单一来源采购流程，</w:t>
            </w:r>
            <w:r>
              <w:rPr>
                <w:rFonts w:cs="Arial" w:hint="eastAsia"/>
                <w:color w:val="000000"/>
                <w:sz w:val="22"/>
              </w:rPr>
              <w:t>1</w:t>
            </w:r>
            <w:r>
              <w:rPr>
                <w:rFonts w:cs="Arial" w:hint="eastAsia"/>
                <w:color w:val="000000"/>
                <w:sz w:val="22"/>
              </w:rPr>
              <w:t>月确定项目服务第三方机构为中国化学品安全协会，于</w:t>
            </w:r>
            <w:r>
              <w:rPr>
                <w:rFonts w:cs="Arial" w:hint="eastAsia"/>
                <w:color w:val="000000"/>
                <w:sz w:val="22"/>
              </w:rPr>
              <w:t>1</w:t>
            </w:r>
            <w:r>
              <w:rPr>
                <w:rFonts w:cs="Arial" w:hint="eastAsia"/>
                <w:color w:val="000000"/>
                <w:sz w:val="22"/>
              </w:rPr>
              <w:t>月</w:t>
            </w:r>
            <w:r>
              <w:rPr>
                <w:rFonts w:cs="Arial" w:hint="eastAsia"/>
                <w:color w:val="000000"/>
                <w:sz w:val="22"/>
              </w:rPr>
              <w:t>26</w:t>
            </w:r>
            <w:r>
              <w:rPr>
                <w:rFonts w:cs="Arial" w:hint="eastAsia"/>
                <w:color w:val="000000"/>
                <w:sz w:val="22"/>
              </w:rPr>
              <w:t>日签订服务合同签订，</w:t>
            </w:r>
            <w:r>
              <w:rPr>
                <w:rFonts w:cs="Arial" w:hint="eastAsia"/>
                <w:color w:val="000000"/>
                <w:sz w:val="22"/>
              </w:rPr>
              <w:t>1-11</w:t>
            </w:r>
            <w:r>
              <w:rPr>
                <w:rFonts w:cs="Arial" w:hint="eastAsia"/>
                <w:color w:val="000000"/>
                <w:sz w:val="22"/>
              </w:rPr>
              <w:t>月，对</w:t>
            </w:r>
            <w:r>
              <w:rPr>
                <w:rFonts w:cs="Arial" w:hint="eastAsia"/>
                <w:color w:val="000000"/>
                <w:sz w:val="22"/>
              </w:rPr>
              <w:t>83</w:t>
            </w:r>
            <w:r>
              <w:rPr>
                <w:rFonts w:cs="Arial" w:hint="eastAsia"/>
                <w:color w:val="000000"/>
                <w:sz w:val="22"/>
              </w:rPr>
              <w:t>家</w:t>
            </w:r>
            <w:r>
              <w:rPr>
                <w:rFonts w:cs="Arial" w:hint="eastAsia"/>
                <w:color w:val="000000"/>
                <w:sz w:val="22"/>
              </w:rPr>
              <w:t>2024</w:t>
            </w:r>
            <w:r>
              <w:rPr>
                <w:rFonts w:cs="Arial" w:hint="eastAsia"/>
                <w:color w:val="000000"/>
                <w:sz w:val="22"/>
              </w:rPr>
              <w:t>年</w:t>
            </w:r>
            <w:r>
              <w:rPr>
                <w:rFonts w:cs="Arial" w:hint="eastAsia"/>
                <w:color w:val="000000"/>
                <w:sz w:val="22"/>
              </w:rPr>
              <w:t>5</w:t>
            </w:r>
            <w:r>
              <w:rPr>
                <w:rFonts w:cs="Arial" w:hint="eastAsia"/>
                <w:color w:val="000000"/>
                <w:sz w:val="22"/>
              </w:rPr>
              <w:t>月至</w:t>
            </w:r>
            <w:r>
              <w:rPr>
                <w:rFonts w:cs="Arial" w:hint="eastAsia"/>
                <w:color w:val="000000"/>
                <w:sz w:val="22"/>
              </w:rPr>
              <w:t>2025</w:t>
            </w:r>
            <w:r>
              <w:rPr>
                <w:rFonts w:cs="Arial" w:hint="eastAsia"/>
                <w:color w:val="000000"/>
                <w:sz w:val="22"/>
              </w:rPr>
              <w:t>年</w:t>
            </w:r>
            <w:r>
              <w:rPr>
                <w:rFonts w:cs="Arial" w:hint="eastAsia"/>
                <w:color w:val="000000"/>
                <w:sz w:val="22"/>
              </w:rPr>
              <w:t>4</w:t>
            </w:r>
            <w:r>
              <w:rPr>
                <w:rFonts w:cs="Arial" w:hint="eastAsia"/>
                <w:color w:val="000000"/>
                <w:sz w:val="22"/>
              </w:rPr>
              <w:t>月许可证到期</w:t>
            </w:r>
            <w:r>
              <w:rPr>
                <w:rFonts w:cs="Arial" w:hint="eastAsia"/>
                <w:color w:val="000000"/>
                <w:sz w:val="22"/>
              </w:rPr>
              <w:lastRenderedPageBreak/>
              <w:t>换证的危险化学品企业开展本质安全诊断专项核查暨换证现场核查。</w:t>
            </w:r>
            <w:r>
              <w:rPr>
                <w:rFonts w:cs="Arial" w:hint="eastAsia"/>
                <w:color w:val="000000"/>
                <w:sz w:val="22"/>
              </w:rPr>
              <w:t>11</w:t>
            </w:r>
            <w:r>
              <w:rPr>
                <w:rFonts w:cs="Arial" w:hint="eastAsia"/>
                <w:color w:val="000000"/>
                <w:sz w:val="22"/>
              </w:rPr>
              <w:t>月底前，中国化学品安全协会对每家企业形成一份《企业本质安全诊断检查</w:t>
            </w:r>
            <w:r>
              <w:rPr>
                <w:rFonts w:cs="Arial" w:hint="eastAsia"/>
                <w:color w:val="000000"/>
                <w:sz w:val="22"/>
              </w:rPr>
              <w:t>(</w:t>
            </w:r>
            <w:r>
              <w:rPr>
                <w:rFonts w:cs="Arial" w:hint="eastAsia"/>
                <w:color w:val="000000"/>
                <w:sz w:val="22"/>
              </w:rPr>
              <w:t>换证核查</w:t>
            </w:r>
            <w:r>
              <w:rPr>
                <w:rFonts w:cs="Arial" w:hint="eastAsia"/>
                <w:color w:val="000000"/>
                <w:sz w:val="22"/>
              </w:rPr>
              <w:t>)</w:t>
            </w:r>
            <w:r>
              <w:rPr>
                <w:rFonts w:cs="Arial" w:hint="eastAsia"/>
                <w:color w:val="000000"/>
                <w:sz w:val="22"/>
              </w:rPr>
              <w:t>报告》</w:t>
            </w:r>
            <w:r>
              <w:rPr>
                <w:rFonts w:cs="Arial" w:hint="eastAsia"/>
                <w:color w:val="000000"/>
                <w:sz w:val="22"/>
              </w:rPr>
              <w:t>,</w:t>
            </w:r>
            <w:r>
              <w:rPr>
                <w:rFonts w:cs="Arial" w:hint="eastAsia"/>
                <w:color w:val="000000"/>
                <w:sz w:val="22"/>
              </w:rPr>
              <w:t>并对所有问题进行分类汇总分析，总结当前危化品企业存在的共性突出问题，分析问题产生的深层次原因，对苏州市危化品安全生产工作提出针对性强、切实可行的工作建议；编制《苏州市危险化学品</w:t>
            </w:r>
            <w:r>
              <w:rPr>
                <w:rFonts w:cs="Arial" w:hint="eastAsia"/>
                <w:color w:val="000000"/>
                <w:sz w:val="22"/>
              </w:rPr>
              <w:t>企业本质安全专项指导工作总结报告》</w:t>
            </w:r>
            <w:r>
              <w:rPr>
                <w:rFonts w:cs="Arial" w:hint="eastAsia"/>
                <w:color w:val="000000"/>
                <w:sz w:val="22"/>
              </w:rPr>
              <w:t>,</w:t>
            </w:r>
            <w:r>
              <w:rPr>
                <w:rFonts w:cs="Arial" w:hint="eastAsia"/>
                <w:color w:val="000000"/>
                <w:sz w:val="22"/>
              </w:rPr>
              <w:t>完成项目验收。</w:t>
            </w:r>
            <w:r>
              <w:rPr>
                <w:rFonts w:cs="Arial" w:hint="eastAsia"/>
                <w:color w:val="000000"/>
                <w:sz w:val="22"/>
              </w:rPr>
              <w:t>2.</w:t>
            </w:r>
            <w:r>
              <w:rPr>
                <w:rFonts w:cs="Arial" w:hint="eastAsia"/>
                <w:color w:val="000000"/>
                <w:sz w:val="22"/>
              </w:rPr>
              <w:t>组织专家开展危险化学品经营许可证现场核查，颁发危化品经营许可证。自</w:t>
            </w:r>
            <w:r>
              <w:rPr>
                <w:rFonts w:cs="Arial" w:hint="eastAsia"/>
                <w:color w:val="000000"/>
                <w:sz w:val="22"/>
              </w:rPr>
              <w:t>2024</w:t>
            </w:r>
            <w:r>
              <w:rPr>
                <w:rFonts w:cs="Arial" w:hint="eastAsia"/>
                <w:color w:val="000000"/>
                <w:sz w:val="22"/>
              </w:rPr>
              <w:t>年</w:t>
            </w:r>
            <w:r>
              <w:rPr>
                <w:rFonts w:cs="Arial" w:hint="eastAsia"/>
                <w:color w:val="000000"/>
                <w:sz w:val="22"/>
              </w:rPr>
              <w:t>5</w:t>
            </w:r>
            <w:r>
              <w:rPr>
                <w:rFonts w:cs="Arial" w:hint="eastAsia"/>
                <w:color w:val="000000"/>
                <w:sz w:val="22"/>
              </w:rPr>
              <w:t>月份启动采购流程，确定服务第三方机构；</w:t>
            </w:r>
            <w:r>
              <w:rPr>
                <w:rFonts w:cs="Arial" w:hint="eastAsia"/>
                <w:color w:val="000000"/>
                <w:sz w:val="22"/>
              </w:rPr>
              <w:t>5-12</w:t>
            </w:r>
            <w:r>
              <w:rPr>
                <w:rFonts w:cs="Arial" w:hint="eastAsia"/>
                <w:color w:val="000000"/>
                <w:sz w:val="22"/>
              </w:rPr>
              <w:t>月，启动对危险化学品带储存经营（仓储）企业、加油站开展经营许可现场换证核查服务，按照核查计划，组织专家对危险化学品带储存经营（仓储）企业、加油站开展经营许可换证现场核查，根据现场核查情况，填写《危险化学品经营许可证现场核查表》，并</w:t>
            </w:r>
            <w:proofErr w:type="gramStart"/>
            <w:r>
              <w:rPr>
                <w:rFonts w:cs="Arial" w:hint="eastAsia"/>
                <w:color w:val="000000"/>
                <w:sz w:val="22"/>
              </w:rPr>
              <w:t>附危险</w:t>
            </w:r>
            <w:proofErr w:type="gramEnd"/>
            <w:r>
              <w:rPr>
                <w:rFonts w:cs="Arial" w:hint="eastAsia"/>
                <w:color w:val="000000"/>
                <w:sz w:val="22"/>
              </w:rPr>
              <w:t>化学品经营许可证现场核查专家审查意见；</w:t>
            </w:r>
            <w:r>
              <w:rPr>
                <w:rFonts w:cs="Arial" w:hint="eastAsia"/>
                <w:color w:val="000000"/>
                <w:sz w:val="22"/>
              </w:rPr>
              <w:t>12</w:t>
            </w:r>
            <w:r>
              <w:rPr>
                <w:rFonts w:cs="Arial" w:hint="eastAsia"/>
                <w:color w:val="000000"/>
                <w:sz w:val="22"/>
              </w:rPr>
              <w:t>月底共完成</w:t>
            </w:r>
            <w:r>
              <w:rPr>
                <w:rFonts w:cs="Arial" w:hint="eastAsia"/>
                <w:color w:val="000000"/>
                <w:sz w:val="22"/>
              </w:rPr>
              <w:t>180</w:t>
            </w:r>
            <w:r>
              <w:rPr>
                <w:rFonts w:cs="Arial" w:hint="eastAsia"/>
                <w:color w:val="000000"/>
                <w:sz w:val="22"/>
              </w:rPr>
              <w:t>家危险化学品带储存经营（仓储）企业、加油</w:t>
            </w:r>
            <w:r>
              <w:rPr>
                <w:rFonts w:cs="Arial" w:hint="eastAsia"/>
                <w:color w:val="000000"/>
                <w:sz w:val="22"/>
              </w:rPr>
              <w:t>站现场核查工作，企业均整改闭环，经监管部门复核、形式审查和许可会集中会商通过许可，颁发危险化学品经营许可证。</w:t>
            </w:r>
            <w:r>
              <w:rPr>
                <w:rFonts w:cs="Arial" w:hint="eastAsia"/>
                <w:color w:val="000000"/>
                <w:sz w:val="22"/>
              </w:rPr>
              <w:t>3.</w:t>
            </w:r>
            <w:r>
              <w:rPr>
                <w:rFonts w:cs="Arial" w:hint="eastAsia"/>
                <w:color w:val="000000"/>
                <w:sz w:val="22"/>
              </w:rPr>
              <w:t>组织专家对化工园区</w:t>
            </w:r>
            <w:proofErr w:type="gramStart"/>
            <w:r>
              <w:rPr>
                <w:rFonts w:cs="Arial" w:hint="eastAsia"/>
                <w:color w:val="000000"/>
                <w:sz w:val="22"/>
              </w:rPr>
              <w:t>外危险</w:t>
            </w:r>
            <w:proofErr w:type="gramEnd"/>
            <w:r>
              <w:rPr>
                <w:rFonts w:cs="Arial" w:hint="eastAsia"/>
                <w:color w:val="000000"/>
                <w:sz w:val="22"/>
              </w:rPr>
              <w:t>化学品企业开展安全审计及化学原料药制造类医药企业开展深度核查。自</w:t>
            </w:r>
            <w:r>
              <w:rPr>
                <w:rFonts w:cs="Arial" w:hint="eastAsia"/>
                <w:color w:val="000000"/>
                <w:sz w:val="22"/>
              </w:rPr>
              <w:t>2023</w:t>
            </w:r>
            <w:r>
              <w:rPr>
                <w:rFonts w:cs="Arial" w:hint="eastAsia"/>
                <w:color w:val="000000"/>
                <w:sz w:val="22"/>
              </w:rPr>
              <w:t>年</w:t>
            </w:r>
            <w:r>
              <w:rPr>
                <w:rFonts w:cs="Arial" w:hint="eastAsia"/>
                <w:color w:val="000000"/>
                <w:sz w:val="22"/>
              </w:rPr>
              <w:t>12</w:t>
            </w:r>
            <w:r>
              <w:rPr>
                <w:rFonts w:cs="Arial" w:hint="eastAsia"/>
                <w:color w:val="000000"/>
                <w:sz w:val="22"/>
              </w:rPr>
              <w:t>月份启动采购流程，确定</w:t>
            </w:r>
            <w:r>
              <w:rPr>
                <w:rFonts w:cs="Arial" w:hint="eastAsia"/>
                <w:color w:val="000000"/>
                <w:sz w:val="22"/>
              </w:rPr>
              <w:t>2</w:t>
            </w:r>
            <w:r>
              <w:rPr>
                <w:rFonts w:cs="Arial" w:hint="eastAsia"/>
                <w:color w:val="000000"/>
                <w:sz w:val="22"/>
              </w:rPr>
              <w:t>家第三</w:t>
            </w:r>
            <w:proofErr w:type="gramStart"/>
            <w:r>
              <w:rPr>
                <w:rFonts w:cs="Arial" w:hint="eastAsia"/>
                <w:color w:val="000000"/>
                <w:sz w:val="22"/>
              </w:rPr>
              <w:t>方服务</w:t>
            </w:r>
            <w:proofErr w:type="gramEnd"/>
            <w:r>
              <w:rPr>
                <w:rFonts w:cs="Arial" w:hint="eastAsia"/>
                <w:color w:val="000000"/>
                <w:sz w:val="22"/>
              </w:rPr>
              <w:t>机构，</w:t>
            </w:r>
            <w:r>
              <w:rPr>
                <w:rFonts w:cs="Arial" w:hint="eastAsia"/>
                <w:color w:val="000000"/>
                <w:sz w:val="22"/>
              </w:rPr>
              <w:t>4-9</w:t>
            </w:r>
            <w:r>
              <w:rPr>
                <w:rFonts w:cs="Arial" w:hint="eastAsia"/>
                <w:color w:val="000000"/>
                <w:sz w:val="22"/>
              </w:rPr>
              <w:t>月，由</w:t>
            </w:r>
            <w:r>
              <w:rPr>
                <w:rFonts w:cs="Arial" w:hint="eastAsia"/>
                <w:color w:val="000000"/>
                <w:sz w:val="22"/>
              </w:rPr>
              <w:t>2</w:t>
            </w:r>
            <w:r>
              <w:rPr>
                <w:rFonts w:cs="Arial" w:hint="eastAsia"/>
                <w:color w:val="000000"/>
                <w:sz w:val="22"/>
              </w:rPr>
              <w:t>家第三</w:t>
            </w:r>
            <w:proofErr w:type="gramStart"/>
            <w:r>
              <w:rPr>
                <w:rFonts w:cs="Arial" w:hint="eastAsia"/>
                <w:color w:val="000000"/>
                <w:sz w:val="22"/>
              </w:rPr>
              <w:t>方服务</w:t>
            </w:r>
            <w:proofErr w:type="gramEnd"/>
            <w:r>
              <w:rPr>
                <w:rFonts w:cs="Arial" w:hint="eastAsia"/>
                <w:color w:val="000000"/>
                <w:sz w:val="22"/>
              </w:rPr>
              <w:t>机构对</w:t>
            </w:r>
            <w:r>
              <w:rPr>
                <w:rFonts w:cs="Arial" w:hint="eastAsia"/>
                <w:color w:val="000000"/>
                <w:sz w:val="22"/>
              </w:rPr>
              <w:t>10</w:t>
            </w:r>
            <w:r>
              <w:rPr>
                <w:rFonts w:cs="Arial" w:hint="eastAsia"/>
                <w:color w:val="000000"/>
                <w:sz w:val="22"/>
              </w:rPr>
              <w:t>家化工园区</w:t>
            </w:r>
            <w:proofErr w:type="gramStart"/>
            <w:r>
              <w:rPr>
                <w:rFonts w:cs="Arial" w:hint="eastAsia"/>
                <w:color w:val="000000"/>
                <w:sz w:val="22"/>
              </w:rPr>
              <w:t>外危险</w:t>
            </w:r>
            <w:proofErr w:type="gramEnd"/>
            <w:r>
              <w:rPr>
                <w:rFonts w:cs="Arial" w:hint="eastAsia"/>
                <w:color w:val="000000"/>
                <w:sz w:val="22"/>
              </w:rPr>
              <w:t>化学品企业开展安全审计、对</w:t>
            </w:r>
            <w:r>
              <w:rPr>
                <w:rFonts w:cs="Arial" w:hint="eastAsia"/>
                <w:color w:val="000000"/>
                <w:sz w:val="22"/>
              </w:rPr>
              <w:t>10</w:t>
            </w:r>
            <w:r>
              <w:rPr>
                <w:rFonts w:cs="Arial" w:hint="eastAsia"/>
                <w:color w:val="000000"/>
                <w:sz w:val="22"/>
              </w:rPr>
              <w:t>家化学原料药制造类医药企业开展深度核查，提交核查指导服务初查报告、核查指导服务复查报告及核查指导服务总结报告。</w:t>
            </w:r>
            <w:r>
              <w:rPr>
                <w:rFonts w:cs="Arial" w:hint="eastAsia"/>
                <w:color w:val="000000"/>
                <w:sz w:val="22"/>
              </w:rPr>
              <w:t>4.</w:t>
            </w:r>
            <w:r>
              <w:rPr>
                <w:rFonts w:cs="Arial" w:hint="eastAsia"/>
                <w:color w:val="000000"/>
                <w:sz w:val="22"/>
              </w:rPr>
              <w:t>组织专家对老旧装置开展专项指导服务。</w:t>
            </w:r>
            <w:r>
              <w:rPr>
                <w:rFonts w:cs="Arial" w:hint="eastAsia"/>
                <w:color w:val="000000"/>
                <w:sz w:val="22"/>
              </w:rPr>
              <w:t>2024</w:t>
            </w:r>
            <w:r>
              <w:rPr>
                <w:rFonts w:cs="Arial" w:hint="eastAsia"/>
                <w:color w:val="000000"/>
                <w:sz w:val="22"/>
              </w:rPr>
              <w:t>年</w:t>
            </w:r>
            <w:r>
              <w:rPr>
                <w:rFonts w:cs="Arial" w:hint="eastAsia"/>
                <w:color w:val="000000"/>
                <w:sz w:val="22"/>
              </w:rPr>
              <w:t>8</w:t>
            </w:r>
            <w:r>
              <w:rPr>
                <w:rFonts w:cs="Arial" w:hint="eastAsia"/>
                <w:color w:val="000000"/>
                <w:sz w:val="22"/>
              </w:rPr>
              <w:t>月份启动采购</w:t>
            </w:r>
            <w:r>
              <w:rPr>
                <w:rFonts w:cs="Arial" w:hint="eastAsia"/>
                <w:color w:val="000000"/>
                <w:sz w:val="22"/>
              </w:rPr>
              <w:t>流程，</w:t>
            </w:r>
            <w:r>
              <w:rPr>
                <w:rFonts w:cs="Arial" w:hint="eastAsia"/>
                <w:color w:val="000000"/>
                <w:sz w:val="22"/>
              </w:rPr>
              <w:t>9</w:t>
            </w:r>
            <w:r>
              <w:rPr>
                <w:rFonts w:cs="Arial" w:hint="eastAsia"/>
                <w:color w:val="000000"/>
                <w:sz w:val="22"/>
              </w:rPr>
              <w:t>月份确定第三</w:t>
            </w:r>
            <w:proofErr w:type="gramStart"/>
            <w:r>
              <w:rPr>
                <w:rFonts w:cs="Arial" w:hint="eastAsia"/>
                <w:color w:val="000000"/>
                <w:sz w:val="22"/>
              </w:rPr>
              <w:t>方服务</w:t>
            </w:r>
            <w:proofErr w:type="gramEnd"/>
            <w:r>
              <w:rPr>
                <w:rFonts w:cs="Arial" w:hint="eastAsia"/>
                <w:color w:val="000000"/>
                <w:sz w:val="22"/>
              </w:rPr>
              <w:t>机构，</w:t>
            </w:r>
            <w:r>
              <w:rPr>
                <w:rFonts w:cs="Arial" w:hint="eastAsia"/>
                <w:color w:val="000000"/>
                <w:sz w:val="22"/>
              </w:rPr>
              <w:t>10-11</w:t>
            </w:r>
            <w:r>
              <w:rPr>
                <w:rFonts w:cs="Arial" w:hint="eastAsia"/>
                <w:color w:val="000000"/>
                <w:sz w:val="22"/>
              </w:rPr>
              <w:t>月，由第三</w:t>
            </w:r>
            <w:proofErr w:type="gramStart"/>
            <w:r>
              <w:rPr>
                <w:rFonts w:cs="Arial" w:hint="eastAsia"/>
                <w:color w:val="000000"/>
                <w:sz w:val="22"/>
              </w:rPr>
              <w:t>方服务</w:t>
            </w:r>
            <w:proofErr w:type="gramEnd"/>
            <w:r>
              <w:rPr>
                <w:rFonts w:cs="Arial" w:hint="eastAsia"/>
                <w:color w:val="000000"/>
                <w:sz w:val="22"/>
              </w:rPr>
              <w:t>机构对</w:t>
            </w:r>
            <w:r>
              <w:rPr>
                <w:rFonts w:cs="Arial" w:hint="eastAsia"/>
                <w:color w:val="000000"/>
                <w:sz w:val="22"/>
              </w:rPr>
              <w:t>60</w:t>
            </w:r>
            <w:r>
              <w:rPr>
                <w:rFonts w:cs="Arial" w:hint="eastAsia"/>
                <w:color w:val="000000"/>
                <w:sz w:val="22"/>
              </w:rPr>
              <w:t>家</w:t>
            </w:r>
            <w:r>
              <w:rPr>
                <w:rFonts w:cs="Arial" w:hint="eastAsia"/>
                <w:color w:val="000000"/>
                <w:sz w:val="22"/>
              </w:rPr>
              <w:t>2026</w:t>
            </w:r>
            <w:r>
              <w:rPr>
                <w:rFonts w:cs="Arial" w:hint="eastAsia"/>
                <w:color w:val="000000"/>
                <w:sz w:val="22"/>
              </w:rPr>
              <w:t>年底前涉及老旧装置的企业开展更新改造专项指导服务，每套老旧装置编制一份辨识表并汇总编制总结报告和分析报告。</w:t>
            </w:r>
            <w:r>
              <w:rPr>
                <w:rFonts w:cs="Arial" w:hint="eastAsia"/>
                <w:color w:val="000000"/>
                <w:sz w:val="22"/>
              </w:rPr>
              <w:t xml:space="preserve">5. </w:t>
            </w:r>
            <w:r>
              <w:rPr>
                <w:rFonts w:cs="Arial" w:hint="eastAsia"/>
                <w:color w:val="000000"/>
                <w:sz w:val="22"/>
              </w:rPr>
              <w:t>工贸企业核查服务方面。为深入掌握钢铁、深井、冶金铸造、</w:t>
            </w:r>
            <w:proofErr w:type="gramStart"/>
            <w:r>
              <w:rPr>
                <w:rFonts w:cs="Arial" w:hint="eastAsia"/>
                <w:color w:val="000000"/>
                <w:sz w:val="22"/>
              </w:rPr>
              <w:t>涉爆粉尘</w:t>
            </w:r>
            <w:proofErr w:type="gramEnd"/>
            <w:r>
              <w:rPr>
                <w:rFonts w:cs="Arial" w:hint="eastAsia"/>
                <w:color w:val="000000"/>
                <w:sz w:val="22"/>
              </w:rPr>
              <w:t>、喷涂等重点企业的安全生产管理现状，招标确定了江苏省冶金行业协会对</w:t>
            </w:r>
            <w:r>
              <w:rPr>
                <w:rFonts w:cs="Arial" w:hint="eastAsia"/>
                <w:color w:val="000000"/>
                <w:sz w:val="22"/>
              </w:rPr>
              <w:t>4</w:t>
            </w:r>
            <w:r>
              <w:rPr>
                <w:rFonts w:cs="Arial" w:hint="eastAsia"/>
                <w:color w:val="000000"/>
                <w:sz w:val="22"/>
              </w:rPr>
              <w:t>家钢铁企业重大危险源等现场开展专项核查服务，招标确定了中钢集团武汉安全环保研究院有限公司和江苏安胜达安全科技有限公司分别对</w:t>
            </w:r>
            <w:r>
              <w:rPr>
                <w:rFonts w:cs="Arial" w:hint="eastAsia"/>
                <w:color w:val="000000"/>
                <w:sz w:val="22"/>
              </w:rPr>
              <w:t>50</w:t>
            </w:r>
            <w:r>
              <w:rPr>
                <w:rFonts w:cs="Arial" w:hint="eastAsia"/>
                <w:color w:val="000000"/>
                <w:sz w:val="22"/>
              </w:rPr>
              <w:t>家重点熔融铸造重点企业和</w:t>
            </w:r>
            <w:r>
              <w:rPr>
                <w:rFonts w:cs="Arial" w:hint="eastAsia"/>
                <w:color w:val="000000"/>
                <w:sz w:val="22"/>
              </w:rPr>
              <w:t>13</w:t>
            </w:r>
            <w:r>
              <w:rPr>
                <w:rFonts w:cs="Arial" w:hint="eastAsia"/>
                <w:color w:val="000000"/>
                <w:sz w:val="22"/>
              </w:rPr>
              <w:t>家深井铸造</w:t>
            </w:r>
            <w:proofErr w:type="gramStart"/>
            <w:r>
              <w:rPr>
                <w:rFonts w:cs="Arial" w:hint="eastAsia"/>
                <w:color w:val="000000"/>
                <w:sz w:val="22"/>
              </w:rPr>
              <w:t>企开展</w:t>
            </w:r>
            <w:proofErr w:type="gramEnd"/>
            <w:r>
              <w:rPr>
                <w:rFonts w:cs="Arial" w:hint="eastAsia"/>
                <w:color w:val="000000"/>
                <w:sz w:val="22"/>
              </w:rPr>
              <w:t>专项核查服务，招标确定</w:t>
            </w:r>
            <w:r>
              <w:rPr>
                <w:rFonts w:cs="Arial" w:hint="eastAsia"/>
                <w:color w:val="000000"/>
                <w:sz w:val="22"/>
              </w:rPr>
              <w:t>了江苏赛福特安全评价认证有限公司、中钢集团武汉安全环保研究院有限公司、江苏安胜达安全科技有限公司、苏州新世纪金帆企业管理服务有限公司、北京中安科创科技发展有限公司、苏州科信安全评价有限公司、苏州赛捷安全环境科技有限公司对</w:t>
            </w:r>
            <w:r>
              <w:rPr>
                <w:rFonts w:cs="Arial" w:hint="eastAsia"/>
                <w:color w:val="000000"/>
                <w:sz w:val="22"/>
              </w:rPr>
              <w:t>272</w:t>
            </w:r>
            <w:r>
              <w:rPr>
                <w:rFonts w:cs="Arial" w:hint="eastAsia"/>
                <w:color w:val="000000"/>
                <w:sz w:val="22"/>
              </w:rPr>
              <w:t>家粉尘</w:t>
            </w:r>
            <w:proofErr w:type="gramStart"/>
            <w:r>
              <w:rPr>
                <w:rFonts w:cs="Arial" w:hint="eastAsia"/>
                <w:color w:val="000000"/>
                <w:sz w:val="22"/>
              </w:rPr>
              <w:t>涉爆重点</w:t>
            </w:r>
            <w:proofErr w:type="gramEnd"/>
            <w:r>
              <w:rPr>
                <w:rFonts w:cs="Arial" w:hint="eastAsia"/>
                <w:color w:val="000000"/>
                <w:sz w:val="22"/>
              </w:rPr>
              <w:t>企业开展专项核查服务，招标确定了江苏省安全生产科学研究院对</w:t>
            </w:r>
            <w:r>
              <w:rPr>
                <w:rFonts w:cs="Arial" w:hint="eastAsia"/>
                <w:color w:val="000000"/>
                <w:sz w:val="22"/>
              </w:rPr>
              <w:t>50</w:t>
            </w:r>
            <w:r>
              <w:rPr>
                <w:rFonts w:cs="Arial" w:hint="eastAsia"/>
                <w:color w:val="000000"/>
                <w:sz w:val="22"/>
              </w:rPr>
              <w:t>家喷涂企业开展专项核查服务，收集企业基础管理信息，帮助企业排查问题隐患情况，分析研究企业情况，指导企业提高安全管理水平。</w:t>
            </w:r>
            <w:r>
              <w:rPr>
                <w:rFonts w:cs="Arial" w:hint="eastAsia"/>
                <w:color w:val="000000"/>
                <w:sz w:val="22"/>
              </w:rPr>
              <w:t>6.</w:t>
            </w:r>
            <w:r>
              <w:rPr>
                <w:rFonts w:cs="Arial" w:hint="eastAsia"/>
                <w:color w:val="000000"/>
                <w:sz w:val="22"/>
              </w:rPr>
              <w:t>安全生产标准化运行质量审计方面。为巩固工矿企业安全生产标准化管理成果，招标方式确定常州</w:t>
            </w:r>
            <w:r>
              <w:rPr>
                <w:rFonts w:cs="Arial" w:hint="eastAsia"/>
                <w:color w:val="000000"/>
                <w:sz w:val="22"/>
              </w:rPr>
              <w:t>市安平安全技术服务有限公司、江苏正大企业策划管理顾问有限公司、苏州舒安注册安全工程师事务所有限公司和苏州赛捷安全环境科技有限公司对</w:t>
            </w:r>
            <w:r>
              <w:rPr>
                <w:rFonts w:cs="Arial" w:hint="eastAsia"/>
                <w:color w:val="000000"/>
                <w:sz w:val="22"/>
              </w:rPr>
              <w:t>100</w:t>
            </w:r>
            <w:r>
              <w:rPr>
                <w:rFonts w:cs="Arial" w:hint="eastAsia"/>
                <w:color w:val="000000"/>
                <w:sz w:val="22"/>
              </w:rPr>
              <w:t>家二、三级标准化企业开展运行质量审计，指导企业有效运行安全生产标准化，提升企业安全生产体系化管理水平。</w:t>
            </w:r>
            <w:r>
              <w:rPr>
                <w:rFonts w:cs="Arial" w:hint="eastAsia"/>
                <w:color w:val="000000"/>
                <w:sz w:val="22"/>
              </w:rPr>
              <w:t>7.</w:t>
            </w:r>
            <w:r>
              <w:rPr>
                <w:rFonts w:cs="Arial" w:hint="eastAsia"/>
                <w:color w:val="000000"/>
                <w:sz w:val="22"/>
              </w:rPr>
              <w:t>重点“厂中厂”深度核查服务方面。通过招标方式确定江苏泰洁智邦检测技术有限公司、江苏中</w:t>
            </w:r>
            <w:proofErr w:type="gramStart"/>
            <w:r>
              <w:rPr>
                <w:rFonts w:cs="Arial" w:hint="eastAsia"/>
                <w:color w:val="000000"/>
                <w:sz w:val="22"/>
              </w:rPr>
              <w:t>安科技</w:t>
            </w:r>
            <w:proofErr w:type="gramEnd"/>
            <w:r>
              <w:rPr>
                <w:rFonts w:cs="Arial" w:hint="eastAsia"/>
                <w:color w:val="000000"/>
                <w:sz w:val="22"/>
              </w:rPr>
              <w:t>服务有限公司、江苏创新安全检测评价有限公司、苏交科集团（江苏）安全科学研究院有限公司、江苏安胜达安全科技有</w:t>
            </w:r>
            <w:r>
              <w:rPr>
                <w:rFonts w:cs="Arial" w:hint="eastAsia"/>
                <w:color w:val="000000"/>
                <w:sz w:val="22"/>
              </w:rPr>
              <w:lastRenderedPageBreak/>
              <w:t>限公司、山东省胜</w:t>
            </w:r>
            <w:proofErr w:type="gramStart"/>
            <w:r>
              <w:rPr>
                <w:rFonts w:cs="Arial" w:hint="eastAsia"/>
                <w:color w:val="000000"/>
                <w:sz w:val="22"/>
              </w:rPr>
              <w:t>兴安全</w:t>
            </w:r>
            <w:proofErr w:type="gramEnd"/>
            <w:r>
              <w:rPr>
                <w:rFonts w:cs="Arial" w:hint="eastAsia"/>
                <w:color w:val="000000"/>
                <w:sz w:val="22"/>
              </w:rPr>
              <w:t>技术服务有限公司、常州市安平安全技术服务有限公司、江</w:t>
            </w:r>
            <w:r>
              <w:rPr>
                <w:rFonts w:cs="Arial" w:hint="eastAsia"/>
                <w:color w:val="000000"/>
                <w:sz w:val="22"/>
              </w:rPr>
              <w:t>苏君信新华安全科技有限公司、苏州新世纪金帆企业管理服务有限公司、江苏赛福特安全评价认证有限公司、苏州赛捷安全环境科技有限公司、中安一百（苏州）科技有限公司对</w:t>
            </w:r>
            <w:r>
              <w:rPr>
                <w:rFonts w:cs="Arial" w:hint="eastAsia"/>
                <w:color w:val="000000"/>
                <w:sz w:val="22"/>
              </w:rPr>
              <w:t>13392</w:t>
            </w:r>
            <w:r>
              <w:rPr>
                <w:rFonts w:cs="Arial" w:hint="eastAsia"/>
                <w:color w:val="000000"/>
                <w:sz w:val="22"/>
              </w:rPr>
              <w:t>栋重点“厂中厂”开展深度核查服务，开展一轮摸底排查，指导企业有效开展隐患治理。</w:t>
            </w:r>
            <w:r>
              <w:rPr>
                <w:rFonts w:cs="Arial" w:hint="eastAsia"/>
                <w:color w:val="000000"/>
                <w:sz w:val="22"/>
              </w:rPr>
              <w:t>8.</w:t>
            </w:r>
            <w:r>
              <w:rPr>
                <w:rFonts w:cs="Arial" w:hint="eastAsia"/>
                <w:color w:val="000000"/>
                <w:sz w:val="22"/>
              </w:rPr>
              <w:t>三城区自然灾害民生综合保险由自然灾害公共责任保险和自然灾害家庭财产综合保险两部分组成，其中：自然灾害家庭财产综合保险包括居民住房保险和居民家庭基本生活设施保险。实行政府与保险公司“联办共保”方式，保费总额的</w:t>
            </w:r>
            <w:r>
              <w:rPr>
                <w:rFonts w:cs="Arial" w:hint="eastAsia"/>
                <w:color w:val="000000"/>
                <w:sz w:val="22"/>
              </w:rPr>
              <w:t>30%</w:t>
            </w:r>
            <w:r>
              <w:rPr>
                <w:rFonts w:cs="Arial" w:hint="eastAsia"/>
                <w:color w:val="000000"/>
                <w:sz w:val="22"/>
              </w:rPr>
              <w:t>缴保险公司，保费总额的</w:t>
            </w:r>
            <w:r>
              <w:rPr>
                <w:rFonts w:cs="Arial" w:hint="eastAsia"/>
                <w:color w:val="000000"/>
                <w:sz w:val="22"/>
              </w:rPr>
              <w:t xml:space="preserve">70% </w:t>
            </w:r>
            <w:r>
              <w:rPr>
                <w:rFonts w:cs="Arial" w:hint="eastAsia"/>
                <w:color w:val="000000"/>
                <w:sz w:val="22"/>
              </w:rPr>
              <w:t>由市财政局设立专项资金</w:t>
            </w:r>
            <w:r>
              <w:rPr>
                <w:rFonts w:cs="Arial" w:hint="eastAsia"/>
                <w:color w:val="000000"/>
                <w:sz w:val="22"/>
              </w:rPr>
              <w:t>管理，保险公司和市财政专项资金分别承担</w:t>
            </w:r>
            <w:r>
              <w:rPr>
                <w:rFonts w:cs="Arial" w:hint="eastAsia"/>
                <w:color w:val="000000"/>
                <w:sz w:val="22"/>
              </w:rPr>
              <w:t xml:space="preserve">30% </w:t>
            </w:r>
            <w:r>
              <w:rPr>
                <w:rFonts w:cs="Arial" w:hint="eastAsia"/>
                <w:color w:val="000000"/>
                <w:sz w:val="22"/>
              </w:rPr>
              <w:t>和</w:t>
            </w:r>
            <w:r>
              <w:rPr>
                <w:rFonts w:cs="Arial" w:hint="eastAsia"/>
                <w:color w:val="000000"/>
                <w:sz w:val="22"/>
              </w:rPr>
              <w:t xml:space="preserve">70% </w:t>
            </w:r>
            <w:r>
              <w:rPr>
                <w:rFonts w:cs="Arial" w:hint="eastAsia"/>
                <w:color w:val="000000"/>
                <w:sz w:val="22"/>
              </w:rPr>
              <w:t>的保险赔偿额。项目自</w:t>
            </w:r>
            <w:r>
              <w:rPr>
                <w:rFonts w:cs="Arial" w:hint="eastAsia"/>
                <w:color w:val="000000"/>
                <w:sz w:val="22"/>
              </w:rPr>
              <w:t>2021</w:t>
            </w:r>
            <w:r>
              <w:rPr>
                <w:rFonts w:cs="Arial" w:hint="eastAsia"/>
                <w:color w:val="000000"/>
                <w:sz w:val="22"/>
              </w:rPr>
              <w:t>年</w:t>
            </w:r>
            <w:r>
              <w:rPr>
                <w:rFonts w:cs="Arial" w:hint="eastAsia"/>
                <w:color w:val="000000"/>
                <w:sz w:val="22"/>
              </w:rPr>
              <w:t>1</w:t>
            </w:r>
            <w:r>
              <w:rPr>
                <w:rFonts w:cs="Arial" w:hint="eastAsia"/>
                <w:color w:val="000000"/>
                <w:sz w:val="22"/>
              </w:rPr>
              <w:t>月</w:t>
            </w:r>
            <w:r>
              <w:rPr>
                <w:rFonts w:cs="Arial" w:hint="eastAsia"/>
                <w:color w:val="000000"/>
                <w:sz w:val="22"/>
              </w:rPr>
              <w:t>1</w:t>
            </w:r>
            <w:r>
              <w:rPr>
                <w:rFonts w:cs="Arial" w:hint="eastAsia"/>
                <w:color w:val="000000"/>
                <w:sz w:val="22"/>
              </w:rPr>
              <w:t>日起实施，</w:t>
            </w:r>
            <w:r>
              <w:rPr>
                <w:rFonts w:cs="Arial" w:hint="eastAsia"/>
                <w:color w:val="000000"/>
                <w:sz w:val="22"/>
              </w:rPr>
              <w:t>2022</w:t>
            </w:r>
            <w:r>
              <w:rPr>
                <w:rFonts w:cs="Arial" w:hint="eastAsia"/>
                <w:color w:val="000000"/>
                <w:sz w:val="22"/>
              </w:rPr>
              <w:t>年</w:t>
            </w:r>
            <w:r>
              <w:rPr>
                <w:rFonts w:cs="Arial" w:hint="eastAsia"/>
                <w:color w:val="000000"/>
                <w:sz w:val="22"/>
              </w:rPr>
              <w:t>12</w:t>
            </w:r>
            <w:r>
              <w:rPr>
                <w:rFonts w:cs="Arial" w:hint="eastAsia"/>
                <w:color w:val="000000"/>
                <w:sz w:val="22"/>
              </w:rPr>
              <w:t>月</w:t>
            </w:r>
            <w:r>
              <w:rPr>
                <w:rFonts w:cs="Arial" w:hint="eastAsia"/>
                <w:color w:val="000000"/>
                <w:sz w:val="22"/>
              </w:rPr>
              <w:t>31</w:t>
            </w:r>
            <w:r>
              <w:rPr>
                <w:rFonts w:cs="Arial" w:hint="eastAsia"/>
                <w:color w:val="000000"/>
                <w:sz w:val="22"/>
              </w:rPr>
              <w:t>日结束。在应对台风、短时强降雨等自然灾害过程中，为三城区户籍居民和符合条件的非本地户籍人员提供了简便高效的理赔服务，降低了自然灾害给居民及住房带来的损失及影响。</w:t>
            </w:r>
            <w:r>
              <w:rPr>
                <w:rFonts w:cs="Arial" w:hint="eastAsia"/>
                <w:color w:val="000000"/>
                <w:sz w:val="22"/>
              </w:rPr>
              <w:t>9.</w:t>
            </w:r>
            <w:r>
              <w:rPr>
                <w:rFonts w:cs="Arial" w:hint="eastAsia"/>
                <w:color w:val="000000"/>
                <w:sz w:val="22"/>
              </w:rPr>
              <w:t>构建“教考分离”的考试考核体系，安全生产考试</w:t>
            </w:r>
            <w:proofErr w:type="gramStart"/>
            <w:r>
              <w:rPr>
                <w:rFonts w:cs="Arial" w:hint="eastAsia"/>
                <w:color w:val="000000"/>
                <w:sz w:val="22"/>
              </w:rPr>
              <w:t>工作稳序推进</w:t>
            </w:r>
            <w:proofErr w:type="gramEnd"/>
            <w:r>
              <w:rPr>
                <w:rFonts w:cs="Arial" w:hint="eastAsia"/>
                <w:color w:val="000000"/>
                <w:sz w:val="22"/>
              </w:rPr>
              <w:t>，考试人数不断上涨。据统计，市考试中心考试人数达到</w:t>
            </w:r>
            <w:r>
              <w:rPr>
                <w:rFonts w:cs="Arial" w:hint="eastAsia"/>
                <w:color w:val="000000"/>
                <w:sz w:val="22"/>
              </w:rPr>
              <w:t>55594</w:t>
            </w:r>
            <w:r>
              <w:rPr>
                <w:rFonts w:cs="Arial" w:hint="eastAsia"/>
                <w:color w:val="000000"/>
                <w:sz w:val="22"/>
              </w:rPr>
              <w:t>人，占到了全市考试总人数的</w:t>
            </w:r>
            <w:r>
              <w:rPr>
                <w:rFonts w:cs="Arial" w:hint="eastAsia"/>
                <w:color w:val="000000"/>
                <w:sz w:val="22"/>
              </w:rPr>
              <w:t>31.43%</w:t>
            </w:r>
            <w:r>
              <w:rPr>
                <w:rFonts w:cs="Arial" w:hint="eastAsia"/>
                <w:color w:val="000000"/>
                <w:sz w:val="22"/>
              </w:rPr>
              <w:t>。全市考试总合格率超过了</w:t>
            </w:r>
            <w:r>
              <w:rPr>
                <w:rFonts w:cs="Arial" w:hint="eastAsia"/>
                <w:color w:val="000000"/>
                <w:sz w:val="22"/>
              </w:rPr>
              <w:t>93%</w:t>
            </w:r>
            <w:r>
              <w:rPr>
                <w:rFonts w:cs="Arial" w:hint="eastAsia"/>
                <w:color w:val="000000"/>
                <w:sz w:val="22"/>
              </w:rPr>
              <w:t>。稳步推进考试改革，建立健全安全培训考试制</w:t>
            </w:r>
            <w:r>
              <w:rPr>
                <w:rFonts w:cs="Arial" w:hint="eastAsia"/>
                <w:color w:val="000000"/>
                <w:sz w:val="22"/>
              </w:rPr>
              <w:t>度，加强考试机构建设，严格规范考试流程，已经构建“教考分离”的考试考核体系，各项工作取得扎实成效同时加大考试监考力度并严格现场管理。</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lastRenderedPageBreak/>
              <w:t>项目管理成效</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1.2024</w:t>
            </w:r>
            <w:r>
              <w:rPr>
                <w:rFonts w:cs="Arial" w:hint="eastAsia"/>
                <w:color w:val="000000"/>
                <w:sz w:val="22"/>
              </w:rPr>
              <w:t>年，按照市委、市政府决策部署，统筹发展和安全，把安全贯彻到经济社会发展各环节、全过程，构建大安全大应急框架，推动安全生产治理模式向事前预防转型，保障全市安全生产形势稳定。</w:t>
            </w:r>
            <w:r>
              <w:rPr>
                <w:rFonts w:cs="Arial" w:hint="eastAsia"/>
                <w:color w:val="000000"/>
                <w:sz w:val="22"/>
              </w:rPr>
              <w:t>1-12</w:t>
            </w:r>
            <w:r>
              <w:rPr>
                <w:rFonts w:cs="Arial" w:hint="eastAsia"/>
                <w:color w:val="000000"/>
                <w:sz w:val="22"/>
              </w:rPr>
              <w:t>月，全市共发生各类生产安全事故</w:t>
            </w:r>
            <w:proofErr w:type="gramStart"/>
            <w:r>
              <w:rPr>
                <w:rFonts w:cs="Arial" w:hint="eastAsia"/>
                <w:color w:val="000000"/>
                <w:sz w:val="22"/>
              </w:rPr>
              <w:t>同比双</w:t>
            </w:r>
            <w:proofErr w:type="gramEnd"/>
            <w:r>
              <w:rPr>
                <w:rFonts w:cs="Arial" w:hint="eastAsia"/>
                <w:color w:val="000000"/>
                <w:sz w:val="22"/>
              </w:rPr>
              <w:t>下降。</w:t>
            </w:r>
            <w:r>
              <w:rPr>
                <w:rFonts w:cs="Arial" w:hint="eastAsia"/>
                <w:color w:val="000000"/>
                <w:sz w:val="22"/>
              </w:rPr>
              <w:t xml:space="preserve">2. </w:t>
            </w:r>
            <w:r>
              <w:rPr>
                <w:rFonts w:cs="Arial" w:hint="eastAsia"/>
                <w:color w:val="000000"/>
                <w:sz w:val="22"/>
              </w:rPr>
              <w:t>提高企业本质安全水平，强化主体安全生产责任意识。通过危险化学品企业本质安全专项指导，提高被指导企业本质安全水平，强化企业落实</w:t>
            </w:r>
            <w:r>
              <w:rPr>
                <w:rFonts w:cs="Arial" w:hint="eastAsia"/>
                <w:color w:val="000000"/>
                <w:sz w:val="22"/>
              </w:rPr>
              <w:t>安全生产主体责任意识。</w:t>
            </w:r>
            <w:r>
              <w:rPr>
                <w:rFonts w:cs="Arial" w:hint="eastAsia"/>
                <w:color w:val="000000"/>
                <w:sz w:val="22"/>
              </w:rPr>
              <w:t>3.</w:t>
            </w:r>
            <w:r>
              <w:rPr>
                <w:rFonts w:cs="Arial" w:hint="eastAsia"/>
                <w:color w:val="000000"/>
                <w:sz w:val="22"/>
              </w:rPr>
              <w:t>提升危险化学品带储存经营（仓储）企业、加油站本质安全和现场安全管理水平通过现场核查服务，帮助全市危险化学品带储存经营（仓储）企业、加油站提升了本质安全和现场安全管理水平，有效遏制危险化学品带储存经营（仓储）企业、加油站安全事故的发生，为防范化解危险化学品带储存经营（仓储）企业、加油站系统性安全风险提供了有力支撑。</w:t>
            </w:r>
            <w:r>
              <w:rPr>
                <w:rFonts w:cs="Arial" w:hint="eastAsia"/>
                <w:color w:val="000000"/>
                <w:sz w:val="22"/>
              </w:rPr>
              <w:t>3.</w:t>
            </w:r>
            <w:r>
              <w:rPr>
                <w:rFonts w:cs="Arial" w:hint="eastAsia"/>
                <w:color w:val="000000"/>
                <w:sz w:val="22"/>
              </w:rPr>
              <w:t>提升化工园区</w:t>
            </w:r>
            <w:proofErr w:type="gramStart"/>
            <w:r>
              <w:rPr>
                <w:rFonts w:cs="Arial" w:hint="eastAsia"/>
                <w:color w:val="000000"/>
                <w:sz w:val="22"/>
              </w:rPr>
              <w:t>外危险</w:t>
            </w:r>
            <w:proofErr w:type="gramEnd"/>
            <w:r>
              <w:rPr>
                <w:rFonts w:cs="Arial" w:hint="eastAsia"/>
                <w:color w:val="000000"/>
                <w:sz w:val="22"/>
              </w:rPr>
              <w:t>化学品企业和化学原料药制造类医药企业本质安全水平，指导企业增强排险除患能力，强化企业落实安全生产主体责任意识。</w:t>
            </w:r>
            <w:r>
              <w:rPr>
                <w:rFonts w:cs="Arial" w:hint="eastAsia"/>
                <w:color w:val="000000"/>
                <w:sz w:val="22"/>
              </w:rPr>
              <w:t>4.</w:t>
            </w:r>
            <w:r>
              <w:rPr>
                <w:rFonts w:cs="Arial" w:hint="eastAsia"/>
                <w:color w:val="000000"/>
                <w:sz w:val="22"/>
              </w:rPr>
              <w:t>提升企业装置安全性和可靠性，经专家评</w:t>
            </w:r>
            <w:r>
              <w:rPr>
                <w:rFonts w:cs="Arial" w:hint="eastAsia"/>
                <w:color w:val="000000"/>
                <w:sz w:val="22"/>
              </w:rPr>
              <w:t>估后认为确需改造的，督促企业纳入改造清单，确实无需改造的，指导企业落实常态化管控措施。</w:t>
            </w:r>
            <w:r>
              <w:rPr>
                <w:rFonts w:cs="Arial" w:hint="eastAsia"/>
                <w:color w:val="000000"/>
                <w:sz w:val="22"/>
              </w:rPr>
              <w:t>5.</w:t>
            </w:r>
            <w:r>
              <w:rPr>
                <w:rFonts w:cs="Arial" w:hint="eastAsia"/>
                <w:color w:val="000000"/>
                <w:sz w:val="22"/>
              </w:rPr>
              <w:t>帮扶企业提高排险除患水平，为进一步深化开展冶金熔融铸造重点企业安全监管工作打下了基础。通过开展钢铁行业煤气等重大危险源深度核查、重点冶金熔融铸造、深井铸造企业深度核查、喷涂企业深度核查、粉尘</w:t>
            </w:r>
            <w:proofErr w:type="gramStart"/>
            <w:r>
              <w:rPr>
                <w:rFonts w:cs="Arial" w:hint="eastAsia"/>
                <w:color w:val="000000"/>
                <w:sz w:val="22"/>
              </w:rPr>
              <w:t>涉爆企业</w:t>
            </w:r>
            <w:proofErr w:type="gramEnd"/>
            <w:r>
              <w:rPr>
                <w:rFonts w:cs="Arial" w:hint="eastAsia"/>
                <w:color w:val="000000"/>
                <w:sz w:val="22"/>
              </w:rPr>
              <w:t>深度核查服务等深度核查服务项目，深入对</w:t>
            </w:r>
            <w:proofErr w:type="gramStart"/>
            <w:r>
              <w:rPr>
                <w:rFonts w:cs="Arial" w:hint="eastAsia"/>
                <w:color w:val="000000"/>
                <w:sz w:val="22"/>
              </w:rPr>
              <w:t>粉尘涉爆等</w:t>
            </w:r>
            <w:proofErr w:type="gramEnd"/>
            <w:r>
              <w:rPr>
                <w:rFonts w:cs="Arial" w:hint="eastAsia"/>
                <w:color w:val="000000"/>
                <w:sz w:val="22"/>
              </w:rPr>
              <w:t>各类企业开展指导服务，梳理突出问题、共性问题和薄弱环节，整改闭环一批问题隐患，帮扶企业提高排险除患水平，服务企业建立安全生产风险辨识防范和隐患排查治理长效机制，指导企业开展本质</w:t>
            </w:r>
            <w:r>
              <w:rPr>
                <w:rFonts w:cs="Arial" w:hint="eastAsia"/>
                <w:color w:val="000000"/>
                <w:sz w:val="22"/>
              </w:rPr>
              <w:t>安全改造，为进一步深化开展冶金熔融铸造重点企业安全监管工作打下了基础。</w:t>
            </w:r>
            <w:r>
              <w:rPr>
                <w:rFonts w:cs="Arial" w:hint="eastAsia"/>
                <w:color w:val="000000"/>
                <w:sz w:val="22"/>
              </w:rPr>
              <w:t>6.</w:t>
            </w:r>
            <w:r>
              <w:rPr>
                <w:rFonts w:cs="Arial" w:hint="eastAsia"/>
                <w:color w:val="000000"/>
                <w:sz w:val="22"/>
              </w:rPr>
              <w:t>提升企业安全生产标准化建设水平，进一步健全和完善安全生产长效管理机制。开展标准化运行质量审计服务项目，共计审计</w:t>
            </w:r>
            <w:r>
              <w:rPr>
                <w:rFonts w:cs="Arial" w:hint="eastAsia"/>
                <w:color w:val="000000"/>
                <w:sz w:val="22"/>
              </w:rPr>
              <w:t>100</w:t>
            </w:r>
            <w:r>
              <w:rPr>
                <w:rFonts w:cs="Arial" w:hint="eastAsia"/>
                <w:color w:val="000000"/>
                <w:sz w:val="22"/>
              </w:rPr>
              <w:t>家企业，共</w:t>
            </w:r>
            <w:r>
              <w:rPr>
                <w:rFonts w:cs="Arial" w:hint="eastAsia"/>
                <w:color w:val="000000"/>
                <w:sz w:val="22"/>
              </w:rPr>
              <w:lastRenderedPageBreak/>
              <w:t>出具</w:t>
            </w:r>
            <w:r>
              <w:rPr>
                <w:rFonts w:cs="Arial" w:hint="eastAsia"/>
                <w:color w:val="000000"/>
                <w:sz w:val="22"/>
              </w:rPr>
              <w:t>100</w:t>
            </w:r>
            <w:r>
              <w:rPr>
                <w:rFonts w:cs="Arial" w:hint="eastAsia"/>
                <w:color w:val="000000"/>
                <w:sz w:val="22"/>
              </w:rPr>
              <w:t>份企业审计报告及</w:t>
            </w:r>
            <w:r>
              <w:rPr>
                <w:rFonts w:cs="Arial" w:hint="eastAsia"/>
                <w:color w:val="000000"/>
                <w:sz w:val="22"/>
              </w:rPr>
              <w:t>5</w:t>
            </w:r>
            <w:r>
              <w:rPr>
                <w:rFonts w:cs="Arial" w:hint="eastAsia"/>
                <w:color w:val="000000"/>
                <w:sz w:val="22"/>
              </w:rPr>
              <w:t>份总结报告，为每家企业指出标准化运行体系中存在的各类问题，督促企业持续运用</w:t>
            </w:r>
            <w:r>
              <w:rPr>
                <w:rFonts w:cs="Arial" w:hint="eastAsia"/>
                <w:color w:val="000000"/>
                <w:sz w:val="22"/>
              </w:rPr>
              <w:t>PDCA</w:t>
            </w:r>
            <w:r>
              <w:rPr>
                <w:rFonts w:cs="Arial" w:hint="eastAsia"/>
                <w:color w:val="000000"/>
                <w:sz w:val="22"/>
              </w:rPr>
              <w:t>循环提升工作方法，切实有效运行安全标准化管理体系，进一步树立并健全安全生产长效管理机制，持续改善企业现场的安全生产条件，切实提高企业安全生产标准化运行水平。</w:t>
            </w:r>
            <w:r>
              <w:rPr>
                <w:rFonts w:cs="Arial" w:hint="eastAsia"/>
                <w:color w:val="000000"/>
                <w:sz w:val="22"/>
              </w:rPr>
              <w:t>7.</w:t>
            </w:r>
            <w:r>
              <w:rPr>
                <w:rFonts w:cs="Arial" w:hint="eastAsia"/>
                <w:color w:val="000000"/>
                <w:sz w:val="22"/>
              </w:rPr>
              <w:t>提高全市“厂中厂”安全管理能力，指导房东及</w:t>
            </w:r>
            <w:r>
              <w:rPr>
                <w:rFonts w:cs="Arial" w:hint="eastAsia"/>
                <w:color w:val="000000"/>
                <w:sz w:val="22"/>
              </w:rPr>
              <w:t>“厂中厂”进一步落实安全管理主体责任。通过开展重点“厂中厂”深度核查项目，指导房东及“厂中厂”进一步落实安全管理主体责任，排查一批问题隐患，指导房东牵头安装“三件套”（“一键警报”、简易烟感、消防栓）装置，进一步提升本质安全水平；通过开展整改复查，督促“厂中厂”企业整改一批隐患问题，打通一批生命通道，全面提升一线员工逃生自救能力，指导房东建立“厂中厂”安全管理体系并持续提升</w:t>
            </w:r>
            <w:proofErr w:type="gramStart"/>
            <w:r>
              <w:rPr>
                <w:rFonts w:cs="Arial" w:hint="eastAsia"/>
                <w:color w:val="000000"/>
                <w:sz w:val="22"/>
              </w:rPr>
              <w:t>”</w:t>
            </w:r>
            <w:proofErr w:type="gramEnd"/>
            <w:r>
              <w:rPr>
                <w:rFonts w:cs="Arial" w:hint="eastAsia"/>
                <w:color w:val="000000"/>
                <w:sz w:val="22"/>
              </w:rPr>
              <w:t>安全管理能力，有效遏制“厂中厂”生产安全事故发生。</w:t>
            </w:r>
            <w:r>
              <w:rPr>
                <w:rFonts w:cs="Arial" w:hint="eastAsia"/>
                <w:color w:val="000000"/>
                <w:sz w:val="22"/>
              </w:rPr>
              <w:t>8.</w:t>
            </w:r>
            <w:r>
              <w:rPr>
                <w:rFonts w:cs="Arial" w:hint="eastAsia"/>
                <w:color w:val="000000"/>
                <w:sz w:val="22"/>
              </w:rPr>
              <w:t>按照合同约定开展理赔，降低居民及住房带来的损失及影响。项目由苏州市应急管理局组织</w:t>
            </w:r>
            <w:r>
              <w:rPr>
                <w:rFonts w:cs="Arial" w:hint="eastAsia"/>
                <w:color w:val="000000"/>
                <w:sz w:val="22"/>
              </w:rPr>
              <w:t>开展，人保公司严格按照合同约定及时开展保险理赔工作。在项目推进过程中，市应急管理局多次组织人保公司与三城区应急管理局相关工作人员召开工作会议，研究探讨优化理赔流程、丰富保障内容等事宜。人保公司定期向市应急管理局汇报理赔工作开展、理赔案件起数、理赔金额等情况，项目开展有序有力。</w:t>
            </w:r>
            <w:r>
              <w:rPr>
                <w:rFonts w:cs="Arial" w:hint="eastAsia"/>
                <w:color w:val="000000"/>
                <w:sz w:val="22"/>
              </w:rPr>
              <w:t>9.</w:t>
            </w:r>
            <w:r>
              <w:rPr>
                <w:rFonts w:cs="Arial" w:hint="eastAsia"/>
                <w:color w:val="000000"/>
                <w:sz w:val="22"/>
              </w:rPr>
              <w:t>安全生产</w:t>
            </w:r>
            <w:proofErr w:type="gramStart"/>
            <w:r>
              <w:rPr>
                <w:rFonts w:cs="Arial" w:hint="eastAsia"/>
                <w:color w:val="000000"/>
                <w:sz w:val="22"/>
              </w:rPr>
              <w:t>考试平稳</w:t>
            </w:r>
            <w:proofErr w:type="gramEnd"/>
            <w:r>
              <w:rPr>
                <w:rFonts w:cs="Arial" w:hint="eastAsia"/>
                <w:color w:val="000000"/>
                <w:sz w:val="22"/>
              </w:rPr>
              <w:t>有序，考风考纪良好，整体考试安全治理体系完善。通过治理能力的不断提高，有力的服务保障，以打造贴近实际操作的安全生产特种作业数字化考场，树立全省安全生产考试标杆为目标。安全生产考试院整体考试合格率超过</w:t>
            </w:r>
            <w:r>
              <w:rPr>
                <w:rFonts w:cs="Arial" w:hint="eastAsia"/>
                <w:color w:val="000000"/>
                <w:sz w:val="22"/>
              </w:rPr>
              <w:t>93%</w:t>
            </w:r>
            <w:r>
              <w:rPr>
                <w:rFonts w:cs="Arial" w:hint="eastAsia"/>
                <w:color w:val="000000"/>
                <w:sz w:val="22"/>
              </w:rPr>
              <w:t>。</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lastRenderedPageBreak/>
              <w:t>项目管</w:t>
            </w:r>
            <w:r>
              <w:rPr>
                <w:rFonts w:cs="Arial" w:hint="eastAsia"/>
                <w:color w:val="000000"/>
                <w:sz w:val="22"/>
              </w:rPr>
              <w:t>理存在的问题及原因</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1.</w:t>
            </w:r>
            <w:r>
              <w:rPr>
                <w:rFonts w:cs="Arial" w:hint="eastAsia"/>
                <w:color w:val="000000"/>
                <w:sz w:val="22"/>
              </w:rPr>
              <w:t>少数危险化学品带储存经营（仓储）企业、加油站问题隐患整改不及时，导致换证材料提交时经营证已过期，以及少数地区对危险化学品带储存经营（仓储）企业、加油站提交材料把关不够严格，市本级复核时发现材料仍然存在不规范等问题，导致许可审核进度受到影响。</w:t>
            </w:r>
            <w:r>
              <w:rPr>
                <w:rFonts w:cs="Arial" w:hint="eastAsia"/>
                <w:color w:val="000000"/>
                <w:sz w:val="22"/>
              </w:rPr>
              <w:t>2.</w:t>
            </w:r>
            <w:r>
              <w:rPr>
                <w:rFonts w:cs="Arial" w:hint="eastAsia"/>
                <w:color w:val="000000"/>
                <w:sz w:val="22"/>
              </w:rPr>
              <w:t>少数危险化学品生产企业放弃领证或问题隐患整改不及时导致超期。</w:t>
            </w:r>
            <w:r>
              <w:rPr>
                <w:rFonts w:cs="Arial" w:hint="eastAsia"/>
                <w:color w:val="000000"/>
                <w:sz w:val="22"/>
              </w:rPr>
              <w:t>3.</w:t>
            </w:r>
            <w:r>
              <w:rPr>
                <w:rFonts w:cs="Arial" w:hint="eastAsia"/>
                <w:color w:val="000000"/>
                <w:sz w:val="22"/>
              </w:rPr>
              <w:t>各地企业尚未牢固树立</w:t>
            </w:r>
            <w:proofErr w:type="gramStart"/>
            <w:r>
              <w:rPr>
                <w:rFonts w:cs="Arial" w:hint="eastAsia"/>
                <w:color w:val="000000"/>
                <w:sz w:val="22"/>
              </w:rPr>
              <w:t>安全发展</w:t>
            </w:r>
            <w:proofErr w:type="gramEnd"/>
            <w:r>
              <w:rPr>
                <w:rFonts w:cs="Arial" w:hint="eastAsia"/>
                <w:color w:val="000000"/>
                <w:sz w:val="22"/>
              </w:rPr>
              <w:t>理念，安全生产自我管理能力建设有待进一步强化，导致隐患排查治理工作深度不够，没有从风险源头彻底开展全方位无死角的防控工作。</w:t>
            </w:r>
            <w:r>
              <w:rPr>
                <w:rFonts w:cs="Arial" w:hint="eastAsia"/>
                <w:color w:val="000000"/>
                <w:sz w:val="22"/>
              </w:rPr>
              <w:t>4.</w:t>
            </w:r>
            <w:r>
              <w:rPr>
                <w:rFonts w:cs="Arial" w:hint="eastAsia"/>
                <w:color w:val="000000"/>
                <w:sz w:val="22"/>
              </w:rPr>
              <w:t>根据国家和</w:t>
            </w:r>
            <w:proofErr w:type="gramStart"/>
            <w:r>
              <w:rPr>
                <w:rFonts w:cs="Arial" w:hint="eastAsia"/>
                <w:color w:val="000000"/>
                <w:sz w:val="22"/>
              </w:rPr>
              <w:t>省最新</w:t>
            </w:r>
            <w:proofErr w:type="gramEnd"/>
            <w:r>
              <w:rPr>
                <w:rFonts w:cs="Arial" w:hint="eastAsia"/>
                <w:color w:val="000000"/>
                <w:sz w:val="22"/>
              </w:rPr>
              <w:t>相关要求，</w:t>
            </w:r>
            <w:r>
              <w:rPr>
                <w:rFonts w:cs="Arial" w:hint="eastAsia"/>
                <w:color w:val="000000"/>
                <w:sz w:val="22"/>
              </w:rPr>
              <w:t>焊接、电工、高处、登高的实操考试设备还需要进一步升级改造，改造对场地的要求较高。</w:t>
            </w:r>
            <w:r>
              <w:rPr>
                <w:rFonts w:cs="Arial" w:hint="eastAsia"/>
                <w:color w:val="000000"/>
                <w:sz w:val="22"/>
              </w:rPr>
              <w:t>5.</w:t>
            </w:r>
            <w:r>
              <w:rPr>
                <w:rFonts w:cs="Arial" w:hint="eastAsia"/>
                <w:color w:val="000000"/>
                <w:sz w:val="22"/>
              </w:rPr>
              <w:t>由于三城区自然灾害民生综合保险覆盖范围广、理赔项目繁杂，日常宣传不够到位，在实际理赔过程中，还存在着理赔周期长、认知度</w:t>
            </w:r>
            <w:proofErr w:type="gramStart"/>
            <w:r>
              <w:rPr>
                <w:rFonts w:cs="Arial" w:hint="eastAsia"/>
                <w:color w:val="000000"/>
                <w:sz w:val="22"/>
              </w:rPr>
              <w:t>不</w:t>
            </w:r>
            <w:proofErr w:type="gramEnd"/>
            <w:r>
              <w:rPr>
                <w:rFonts w:cs="Arial" w:hint="eastAsia"/>
                <w:color w:val="000000"/>
                <w:sz w:val="22"/>
              </w:rPr>
              <w:t>高等问题。</w:t>
            </w:r>
          </w:p>
        </w:tc>
      </w:tr>
      <w:tr w:rsidR="00131498">
        <w:tc>
          <w:tcPr>
            <w:tcW w:w="1547"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进一步加强项目管理的建议</w:t>
            </w:r>
          </w:p>
        </w:tc>
        <w:tc>
          <w:tcPr>
            <w:tcW w:w="6959" w:type="dxa"/>
            <w:gridSpan w:val="7"/>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131498" w:rsidRDefault="001A70D0">
            <w:pPr>
              <w:jc w:val="center"/>
              <w:rPr>
                <w:rFonts w:cs="Arial"/>
                <w:color w:val="000000"/>
                <w:sz w:val="22"/>
              </w:rPr>
            </w:pPr>
            <w:r>
              <w:rPr>
                <w:rFonts w:cs="Arial" w:hint="eastAsia"/>
                <w:color w:val="000000"/>
                <w:sz w:val="22"/>
              </w:rPr>
              <w:t>1.</w:t>
            </w:r>
            <w:r>
              <w:rPr>
                <w:rFonts w:cs="Arial" w:hint="eastAsia"/>
                <w:color w:val="000000"/>
                <w:sz w:val="22"/>
              </w:rPr>
              <w:t>综合</w:t>
            </w:r>
            <w:proofErr w:type="gramStart"/>
            <w:r>
              <w:rPr>
                <w:rFonts w:cs="Arial" w:hint="eastAsia"/>
                <w:color w:val="000000"/>
                <w:sz w:val="22"/>
              </w:rPr>
              <w:t>考量</w:t>
            </w:r>
            <w:proofErr w:type="gramEnd"/>
            <w:r>
              <w:rPr>
                <w:rFonts w:cs="Arial" w:hint="eastAsia"/>
                <w:color w:val="000000"/>
                <w:sz w:val="22"/>
              </w:rPr>
              <w:t>年度核查计划和危险化学品生产企业、危险化学品带储存经营（仓储）企业、加油站许可证到期时间，进一步合理制定核查计划，确保严格按照计划落实工作进展。</w:t>
            </w:r>
            <w:r>
              <w:rPr>
                <w:rFonts w:cs="Arial" w:hint="eastAsia"/>
                <w:color w:val="000000"/>
                <w:sz w:val="22"/>
              </w:rPr>
              <w:t>2.</w:t>
            </w:r>
            <w:r>
              <w:rPr>
                <w:rFonts w:cs="Arial" w:hint="eastAsia"/>
                <w:color w:val="000000"/>
                <w:sz w:val="22"/>
              </w:rPr>
              <w:t>进一步提升各地各企业思想认识，加强安全生产的宣传，提升对隐患，安全基础管理的能力。</w:t>
            </w:r>
            <w:r>
              <w:rPr>
                <w:rFonts w:cs="Arial" w:hint="eastAsia"/>
                <w:color w:val="000000"/>
                <w:sz w:val="22"/>
              </w:rPr>
              <w:t>3.</w:t>
            </w:r>
            <w:r>
              <w:rPr>
                <w:rFonts w:cs="Arial" w:hint="eastAsia"/>
                <w:color w:val="000000"/>
                <w:sz w:val="22"/>
              </w:rPr>
              <w:t>根据上级单位对考试的最新要求，进一步完善考点相关设施。</w:t>
            </w:r>
            <w:r>
              <w:rPr>
                <w:rFonts w:cs="Arial" w:hint="eastAsia"/>
                <w:color w:val="000000"/>
                <w:sz w:val="22"/>
              </w:rPr>
              <w:t>4.</w:t>
            </w:r>
            <w:r>
              <w:rPr>
                <w:rFonts w:cs="Arial" w:hint="eastAsia"/>
                <w:color w:val="000000"/>
                <w:sz w:val="22"/>
              </w:rPr>
              <w:t>结合“全国防灾减灾宣传周”“安全生产月”等活动，加大对三城区自然灾害民生保险的宣传力度，</w:t>
            </w:r>
            <w:proofErr w:type="gramStart"/>
            <w:r>
              <w:rPr>
                <w:rFonts w:cs="Arial" w:hint="eastAsia"/>
                <w:color w:val="000000"/>
                <w:sz w:val="22"/>
              </w:rPr>
              <w:t>实地向</w:t>
            </w:r>
            <w:proofErr w:type="gramEnd"/>
            <w:r>
              <w:rPr>
                <w:rFonts w:cs="Arial" w:hint="eastAsia"/>
                <w:color w:val="000000"/>
                <w:sz w:val="22"/>
              </w:rPr>
              <w:t>三城区居民宣传讲解保险条款相关内容，提高群众参与度。根据实际理赔过程中发现的问题，进一步优化理赔程序，缩短理赔时间</w:t>
            </w:r>
            <w:r>
              <w:rPr>
                <w:rFonts w:cs="Arial" w:hint="eastAsia"/>
                <w:color w:val="000000"/>
                <w:sz w:val="22"/>
              </w:rPr>
              <w:t>，尽可能快速便捷地开展理赔工作。</w:t>
            </w:r>
          </w:p>
        </w:tc>
      </w:tr>
      <w:tr w:rsidR="00131498">
        <w:trPr>
          <w:hidden/>
        </w:trPr>
        <w:tc>
          <w:tcPr>
            <w:tcW w:w="1547"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c>
          <w:tcPr>
            <w:tcW w:w="1319" w:type="dxa"/>
            <w:tcBorders>
              <w:top w:val="nil"/>
              <w:left w:val="nil"/>
              <w:bottom w:val="nil"/>
              <w:right w:val="nil"/>
            </w:tcBorders>
            <w:shd w:val="clear" w:color="auto" w:fill="auto"/>
            <w:noWrap/>
            <w:tcMar>
              <w:top w:w="15" w:type="dxa"/>
              <w:left w:w="15" w:type="dxa"/>
              <w:bottom w:w="0" w:type="dxa"/>
              <w:right w:w="15" w:type="dxa"/>
            </w:tcMar>
            <w:vAlign w:val="bottom"/>
          </w:tcPr>
          <w:p w:rsidR="00131498" w:rsidRDefault="00131498">
            <w:pPr>
              <w:rPr>
                <w:rFonts w:ascii="Arial" w:hAnsi="Arial" w:cs="Arial"/>
                <w:vanish/>
                <w:sz w:val="20"/>
                <w:szCs w:val="20"/>
              </w:rPr>
            </w:pPr>
          </w:p>
        </w:tc>
      </w:tr>
    </w:tbl>
    <w:p w:rsidR="00131498" w:rsidRDefault="00131498"/>
    <w:p w:rsidR="00131498" w:rsidRDefault="00131498"/>
    <w:sectPr w:rsidR="001314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0D0" w:rsidRDefault="001A70D0" w:rsidP="007F7A22">
      <w:r>
        <w:separator/>
      </w:r>
    </w:p>
  </w:endnote>
  <w:endnote w:type="continuationSeparator" w:id="0">
    <w:p w:rsidR="001A70D0" w:rsidRDefault="001A70D0" w:rsidP="007F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0D0" w:rsidRDefault="001A70D0" w:rsidP="007F7A22">
      <w:r>
        <w:separator/>
      </w:r>
    </w:p>
  </w:footnote>
  <w:footnote w:type="continuationSeparator" w:id="0">
    <w:p w:rsidR="001A70D0" w:rsidRDefault="001A70D0" w:rsidP="007F7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DAE"/>
    <w:rsid w:val="000227CC"/>
    <w:rsid w:val="00027583"/>
    <w:rsid w:val="0005797A"/>
    <w:rsid w:val="000A753F"/>
    <w:rsid w:val="000D6913"/>
    <w:rsid w:val="00131498"/>
    <w:rsid w:val="00135BA0"/>
    <w:rsid w:val="00146D27"/>
    <w:rsid w:val="00154572"/>
    <w:rsid w:val="001650C6"/>
    <w:rsid w:val="001865A9"/>
    <w:rsid w:val="001A45C6"/>
    <w:rsid w:val="001A70D0"/>
    <w:rsid w:val="00210D2C"/>
    <w:rsid w:val="0027417E"/>
    <w:rsid w:val="00277E96"/>
    <w:rsid w:val="00295EA9"/>
    <w:rsid w:val="002F132B"/>
    <w:rsid w:val="00320B72"/>
    <w:rsid w:val="003309F6"/>
    <w:rsid w:val="003311D3"/>
    <w:rsid w:val="00371193"/>
    <w:rsid w:val="003D5254"/>
    <w:rsid w:val="00421DBC"/>
    <w:rsid w:val="00422096"/>
    <w:rsid w:val="00444045"/>
    <w:rsid w:val="00465368"/>
    <w:rsid w:val="00477DDF"/>
    <w:rsid w:val="00507C7E"/>
    <w:rsid w:val="005365FF"/>
    <w:rsid w:val="005530C8"/>
    <w:rsid w:val="005A4855"/>
    <w:rsid w:val="005B3C15"/>
    <w:rsid w:val="00610E39"/>
    <w:rsid w:val="0063349A"/>
    <w:rsid w:val="0063730A"/>
    <w:rsid w:val="00655009"/>
    <w:rsid w:val="00687228"/>
    <w:rsid w:val="006B065A"/>
    <w:rsid w:val="006B6173"/>
    <w:rsid w:val="006E5E74"/>
    <w:rsid w:val="00740A71"/>
    <w:rsid w:val="007471FF"/>
    <w:rsid w:val="007615B8"/>
    <w:rsid w:val="007615EF"/>
    <w:rsid w:val="0077550F"/>
    <w:rsid w:val="007905BA"/>
    <w:rsid w:val="007D410D"/>
    <w:rsid w:val="007E2F8B"/>
    <w:rsid w:val="007F7A22"/>
    <w:rsid w:val="00857DAE"/>
    <w:rsid w:val="008B69AC"/>
    <w:rsid w:val="0099571D"/>
    <w:rsid w:val="009B2F6A"/>
    <w:rsid w:val="009D2066"/>
    <w:rsid w:val="009D57D9"/>
    <w:rsid w:val="00A566D2"/>
    <w:rsid w:val="00A63BDD"/>
    <w:rsid w:val="00A8579E"/>
    <w:rsid w:val="00A919F2"/>
    <w:rsid w:val="00A970CD"/>
    <w:rsid w:val="00AB1312"/>
    <w:rsid w:val="00AB15D9"/>
    <w:rsid w:val="00AE42C0"/>
    <w:rsid w:val="00B10E19"/>
    <w:rsid w:val="00B15E35"/>
    <w:rsid w:val="00B6380C"/>
    <w:rsid w:val="00B869C7"/>
    <w:rsid w:val="00B948BC"/>
    <w:rsid w:val="00BE0B02"/>
    <w:rsid w:val="00BF549A"/>
    <w:rsid w:val="00C10620"/>
    <w:rsid w:val="00C37A85"/>
    <w:rsid w:val="00C87E85"/>
    <w:rsid w:val="00C9508A"/>
    <w:rsid w:val="00CD2CA9"/>
    <w:rsid w:val="00CE3F84"/>
    <w:rsid w:val="00CE6115"/>
    <w:rsid w:val="00CF3DEA"/>
    <w:rsid w:val="00D159A7"/>
    <w:rsid w:val="00D74E9C"/>
    <w:rsid w:val="00DC3C89"/>
    <w:rsid w:val="00DF4CEA"/>
    <w:rsid w:val="00E2688E"/>
    <w:rsid w:val="00E504B2"/>
    <w:rsid w:val="00E632B8"/>
    <w:rsid w:val="00E86A5D"/>
    <w:rsid w:val="00E9615F"/>
    <w:rsid w:val="00EA1C55"/>
    <w:rsid w:val="00EA7D5C"/>
    <w:rsid w:val="00EC507F"/>
    <w:rsid w:val="00F051B3"/>
    <w:rsid w:val="00F66D21"/>
    <w:rsid w:val="00F74F9B"/>
    <w:rsid w:val="00FD578E"/>
    <w:rsid w:val="5AE70A1F"/>
    <w:rsid w:val="70126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4Char">
    <w:name w:val="闻政标题4 Char"/>
    <w:link w:val="4"/>
    <w:qFormat/>
    <w:locked/>
    <w:rPr>
      <w:rFonts w:ascii="仿宋_GB2312" w:eastAsia="仿宋_GB2312"/>
      <w:b/>
      <w:bCs/>
      <w:sz w:val="28"/>
      <w:szCs w:val="32"/>
    </w:rPr>
  </w:style>
  <w:style w:type="paragraph" w:customStyle="1" w:styleId="4">
    <w:name w:val="闻政标题4"/>
    <w:basedOn w:val="2"/>
    <w:link w:val="4Char"/>
    <w:qFormat/>
    <w:pPr>
      <w:spacing w:before="120" w:after="60" w:line="500" w:lineRule="exact"/>
      <w:ind w:firstLineChars="200" w:firstLine="200"/>
      <w:jc w:val="left"/>
    </w:pPr>
    <w:rPr>
      <w:rFonts w:ascii="仿宋_GB2312" w:eastAsia="仿宋_GB2312" w:hAnsiTheme="minorHAnsi" w:cstheme="minorBidi"/>
      <w:sz w:val="28"/>
    </w:rPr>
  </w:style>
  <w:style w:type="character" w:customStyle="1" w:styleId="2Char">
    <w:name w:val="标题 2 Char"/>
    <w:basedOn w:val="a0"/>
    <w:link w:val="2"/>
    <w:uiPriority w:val="9"/>
    <w:semiHidden/>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4Char">
    <w:name w:val="闻政标题4 Char"/>
    <w:link w:val="4"/>
    <w:qFormat/>
    <w:locked/>
    <w:rPr>
      <w:rFonts w:ascii="仿宋_GB2312" w:eastAsia="仿宋_GB2312"/>
      <w:b/>
      <w:bCs/>
      <w:sz w:val="28"/>
      <w:szCs w:val="32"/>
    </w:rPr>
  </w:style>
  <w:style w:type="paragraph" w:customStyle="1" w:styleId="4">
    <w:name w:val="闻政标题4"/>
    <w:basedOn w:val="2"/>
    <w:link w:val="4Char"/>
    <w:qFormat/>
    <w:pPr>
      <w:spacing w:before="120" w:after="60" w:line="500" w:lineRule="exact"/>
      <w:ind w:firstLineChars="200" w:firstLine="200"/>
      <w:jc w:val="left"/>
    </w:pPr>
    <w:rPr>
      <w:rFonts w:ascii="仿宋_GB2312" w:eastAsia="仿宋_GB2312" w:hAnsiTheme="minorHAnsi" w:cstheme="minorBidi"/>
      <w:sz w:val="28"/>
    </w:rPr>
  </w:style>
  <w:style w:type="character" w:customStyle="1" w:styleId="2Char">
    <w:name w:val="标题 2 Char"/>
    <w:basedOn w:val="a0"/>
    <w:link w:val="2"/>
    <w:uiPriority w:val="9"/>
    <w:semiHidden/>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1083</Words>
  <Characters>6174</Characters>
  <Application>Microsoft Office Word</Application>
  <DocSecurity>0</DocSecurity>
  <Lines>51</Lines>
  <Paragraphs>14</Paragraphs>
  <ScaleCrop>false</ScaleCrop>
  <Company/>
  <LinksUpToDate>false</LinksUpToDate>
  <CharactersWithSpaces>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成 王</dc:creator>
  <cp:lastModifiedBy>DELL</cp:lastModifiedBy>
  <cp:revision>2</cp:revision>
  <dcterms:created xsi:type="dcterms:W3CDTF">2025-03-10T10:08:00Z</dcterms:created>
  <dcterms:modified xsi:type="dcterms:W3CDTF">2025-03-10T10:08:00Z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eyJoZGlkIjoiYjI2ZWIxNzBhOWM3YmNkMjVjMWZjMWQ2NzA4MDFlZmYiLCJ1c2VySWQiOiIxNDU0MjIwNjc4In0=</vt:lpwstr>
  </property>
  <property fmtid="{D5CDD505-2E9C-101B-9397-08002B2CF9AE}" pid="3" name="KSOProductBuildVer">
    <vt:lpwstr>2052-12.1.0.19770</vt:lpwstr>
  </property>
  <property fmtid="{D5CDD505-2E9C-101B-9397-08002B2CF9AE}" pid="4" name="ICV">
    <vt:lpwstr>9F669C4FED13413589140FF1E65A5D7A_12</vt:lpwstr>
  </property>
</Properties>
</file>